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Food waste bins are installed for composting.</w:t>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Waste is collected by a licensed waste disposal contractor.</w:t>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答案：TiMOTION Japan strictly implements waste classification, collection, and management practices. Different categories of waste are stored in designated areas and properly packaged before being handled by qualified external contractors for appropriate treatment.
The main types of waste include:
◆ Recyclable industrial waste, such as packaging materials, metal scrap, and plastics generated during the production process. Materials that cannot be reused internally are collected by licensed waste treatment companies and transported for further sorting and recycling.
(2023: 1911 kg, 2024: 500 kg, 2025: 673 kg 花錢請廠商回收木棧板)
◆ Non-recyclable industrial waste and general household waste are entrusted to authorized waste management contractors for treatment, which typically includes landfill disposal or incineration in compliance with applicable regulations.
◆ Food waste is collected in designated composting bins provided by the company and processed through composting.</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答案：a. The company does not currently operate a formal or centralized energy management system. However, energy efficiency is incorporated into daily operational practices through basic energy-saving awareness and responsible use of electricity. Management encourages employees to adopt prudent energy use habits as part of routine operations, with the objective of reducing unnecessary energy consumption while maintaining operational stability.
b.The company’s energy consumption is primarily associated with office operations and routine production activities. Overall energy usage remains relatively stable and at a moderate level, with no significant fluctuations observed. Electricity is the main energy source, and consumption is monitored through regular utility billing records to ensure transparency and basic cost control.
c.At present, the company does not conduct dedicated external or internal audits specifically focused on energy management. Energy usage is indirectly reviewed through standard operational reviews and utility expense monitoring. Should future operational needs or regulatory requirements arise, the company will consider introducing more structured review or audit mechanisms.
d.The company has implemented basic energy-saving measures, including promoting energy conservation awareness among employees, encouraging the shutdown of lighting and electrical equipment when not in use, and utilizing energy-efficient lighting where applicable. These measures are integrated into daily workplace practices and have contributed to maintaining stable energy consumption levels and avoiding unnecessary energy waste.</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答案：In 2025, the total energy consumption at the company’s site amounted to 83.74 GJ.
The primary sources of energy used during the reporting period included electricity, gasoline, and liquefied petroleum gas (LPG).
Electricity was mainly consumed for office operations and routine production activities, while gasoline and liquefied petroleum gas were used for operational and logistical support purposes.</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38.47 GJ</w:t>
            </w:r>
          </w:p>
        </w:tc>
        <w:tc>
          <w:tcPr>
            <w:tcW w:w="1800" w:type="dxa"/>
            <w:noWrap/>
          </w:tcPr>
          <w:p>
            <w:pPr>
              <w:jc w:val="center"/>
              <w:spacing w:line="240" w:lineRule="auto"/>
            </w:pPr>
            <w:r>
              <w:rPr/>
              <w:t xml:space="preserve">30.046 GJ</w:t>
            </w:r>
          </w:p>
        </w:tc>
        <w:tc>
          <w:tcPr>
            <w:tcW w:w="1800" w:type="dxa"/>
            <w:noWrap/>
          </w:tcPr>
          <w:p>
            <w:pPr>
              <w:jc w:val="center"/>
              <w:spacing w:line="240" w:lineRule="auto"/>
            </w:pPr>
            <w:r>
              <w:rPr/>
              <w:t xml:space="preserve">30.47 GJ</w:t>
            </w:r>
          </w:p>
        </w:tc>
        <w:tc>
          <w:tcPr>
            <w:tcW w:w="1800" w:type="dxa"/>
            <w:noWrap/>
          </w:tcPr>
          <w:p>
            <w:pPr>
              <w:jc w:val="center"/>
              <w:spacing w:line="240" w:lineRule="auto"/>
            </w:pPr>
            <w:r>
              <w:rPr/>
              <w:t xml:space="preserve">Air conditioning systems, lighting, electrical appliances, and charging activities.</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55.94 GJ</w:t>
            </w:r>
          </w:p>
        </w:tc>
        <w:tc>
          <w:tcPr>
            <w:tcW w:w="1800" w:type="dxa"/>
            <w:noWrap/>
          </w:tcPr>
          <w:p>
            <w:pPr>
              <w:jc w:val="center"/>
              <w:spacing w:line="240" w:lineRule="auto"/>
            </w:pPr>
            <w:r>
              <w:rPr/>
              <w:t xml:space="preserve">49.35 GJ</w:t>
            </w:r>
          </w:p>
        </w:tc>
        <w:tc>
          <w:tcPr>
            <w:tcW w:w="1800" w:type="dxa"/>
            <w:noWrap/>
          </w:tcPr>
          <w:p>
            <w:pPr>
              <w:jc w:val="center"/>
              <w:spacing w:line="240" w:lineRule="auto"/>
            </w:pPr>
            <w:r>
              <w:rPr/>
              <w:t xml:space="preserve">51.43 GJ</w:t>
            </w:r>
          </w:p>
        </w:tc>
        <w:tc>
          <w:tcPr>
            <w:tcW w:w="1800" w:type="dxa"/>
            <w:noWrap/>
          </w:tcPr>
          <w:p>
            <w:pPr>
              <w:jc w:val="center"/>
              <w:spacing w:line="240" w:lineRule="auto"/>
            </w:pPr>
            <w:r>
              <w:rPr/>
              <w:t xml:space="preserve">company car</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2.76 GJ</w:t>
            </w:r>
          </w:p>
        </w:tc>
        <w:tc>
          <w:tcPr>
            <w:tcW w:w="1800" w:type="dxa"/>
            <w:noWrap/>
          </w:tcPr>
          <w:p>
            <w:pPr>
              <w:jc w:val="center"/>
              <w:spacing w:line="240" w:lineRule="auto"/>
            </w:pPr>
            <w:r>
              <w:rPr/>
              <w:t xml:space="preserve">1.84 GJ</w:t>
            </w:r>
          </w:p>
        </w:tc>
        <w:tc>
          <w:tcPr>
            <w:tcW w:w="1800" w:type="dxa"/>
            <w:noWrap/>
          </w:tcPr>
          <w:p>
            <w:pPr>
              <w:jc w:val="center"/>
              <w:spacing w:line="240" w:lineRule="auto"/>
            </w:pPr>
            <w:r>
              <w:rPr/>
              <w:t xml:space="preserve">1.84 GJ</w:t>
            </w:r>
          </w:p>
        </w:tc>
        <w:tc>
          <w:tcPr>
            <w:tcW w:w="1800" w:type="dxa"/>
            <w:noWrap/>
          </w:tcPr>
          <w:p>
            <w:pPr>
              <w:jc w:val="center"/>
              <w:spacing w:line="240" w:lineRule="auto"/>
            </w:pPr>
            <w:r>
              <w:rPr/>
              <w:t xml:space="preserve">Gas stove</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97.17 GJ</w:t>
            </w:r>
          </w:p>
        </w:tc>
        <w:tc>
          <w:tcPr>
            <w:tcW w:w="1800" w:type="dxa"/>
            <w:noWrap/>
          </w:tcPr>
          <w:p>
            <w:pPr>
              <w:jc w:val="center"/>
              <w:spacing w:line="240" w:lineRule="auto"/>
            </w:pPr>
            <w:r>
              <w:rPr/>
              <w:t xml:space="preserve">81.24 GJ</w:t>
            </w:r>
          </w:p>
        </w:tc>
        <w:tc>
          <w:tcPr>
            <w:tcW w:w="1800" w:type="dxa"/>
            <w:noWrap/>
          </w:tcPr>
          <w:p>
            <w:pPr>
              <w:jc w:val="center"/>
              <w:spacing w:line="240" w:lineRule="auto"/>
            </w:pPr>
            <w:r>
              <w:rPr/>
              <w:t xml:space="preserve">83.74 GJ</w:t>
            </w:r>
          </w:p>
        </w:tc>
        <w:tc>
          <w:tcPr>
            <w:tcW w:w="1800" w:type="dxa"/>
            <w:noWrap/>
          </w:tcPr>
          <w:p>
            <w:pPr>
              <w:jc w:val="center"/>
              <w:spacing w:line="240" w:lineRule="auto"/>
            </w:pPr>
            <w:r>
              <w:rPr/>
              <w:t xml:space="preserve">   </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答案：N/A</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答案：N/A</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答案：Physical climate-related risks (acute and chronic) are assessed on a regular basis (once a year) using disaster prevention maps and manuals issued by local Japanese authorities. These materials provide location-specific risk information based on geographic conditions and are updated when revised by the authorities.
Early warning mechanisms rely on official hazard maps, public meteorological alerts, and local government disaster guidance, which support employee preparedness, evacuation planning, and emergency response.</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2026-03-04T14:28:20+08:00</dcterms:created>
  <dcterms:modified xsi:type="dcterms:W3CDTF">2026-03-04T14:28:20+08:00</dcterms:modified>
</cp:coreProperties>
</file>

<file path=docProps/custom.xml><?xml version="1.0" encoding="utf-8"?>
<Properties xmlns="http://schemas.openxmlformats.org/officeDocument/2006/custom-properties" xmlns:vt="http://schemas.openxmlformats.org/officeDocument/2006/docPropsVTypes"/>
</file>