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TM-HR-MOTTI</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6.2員工組成與多元化</w:t>
      </w:r>
    </w:p>
    <w:p>
      <w:pPr/>
      <w:r>
        <w:rPr/>
        <w:t xml:space="preserve"/>
      </w:r>
    </w:p>
    <w:p>
      <w:pPr>
        <w:spacing w:line="240" w:lineRule="auto"/>
      </w:pPr>
      <w:r>
        <w:rPr>
          <w:sz w:val="28"/>
          <w:szCs w:val="28"/>
          <w:b w:val="1"/>
          <w:bCs w:val="1"/>
          <w:u w:val="single"/>
        </w:rPr>
        <w:t xml:space="preserve">2025年員工組成人力結構-職級(請各據點提供所屬據點的資料：總部/台中廠/MOTTI/東莞廠/昆山/TMA/TME/TMJ/TMU/其他海外據點) (GRI 405-1) </w:t>
      </w:r>
    </w:p>
    <w:p>
      <w:pPr>
        <w:spacing w:line="240" w:lineRule="auto"/>
      </w:pPr>
      <w:r>
        <w:rPr>
          <w:sz w:val="22"/>
          <w:szCs w:val="22"/>
        </w:rPr>
        <w:t xml:space="preserve">主管定義: 帶人/領管理津貼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職級─主管</w:t>
            </w:r>
          </w:p>
        </w:tc>
        <w:tc>
          <w:tcPr>
            <w:tcW w:w="1800" w:type="dxa"/>
            <w:noWrap/>
          </w:tcPr>
          <w:p>
            <w:pPr>
              <w:jc w:val="center"/>
              <w:spacing w:line="240" w:lineRule="auto"/>
            </w:pPr>
            <w:r>
              <w:rPr>
                <w:sz w:val="24"/>
                <w:szCs w:val="24"/>
                <w:b w:val="1"/>
                <w:bCs w:val="1"/>
              </w:rPr>
              <w:t xml:space="preserve">職級─非主管</w:t>
            </w:r>
          </w:p>
        </w:tc>
        <w:tc>
          <w:tcPr>
            <w:tcW w:w="1800" w:type="dxa"/>
            <w:noWrap/>
          </w:tcPr>
          <w:p>
            <w:pPr>
              <w:jc w:val="center"/>
              <w:spacing w:line="240" w:lineRule="auto"/>
            </w:pPr>
            <w:r>
              <w:rPr>
                <w:sz w:val="24"/>
                <w:szCs w:val="24"/>
                <w:b w:val="1"/>
                <w:bCs w:val="1"/>
              </w:rPr>
              <w:t xml:space="preserve">職級─總數</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10</w:t>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15</w:t>
            </w:r>
          </w:p>
        </w:tc>
        <w:tc>
          <w:tcPr>
            <w:tcW w:w="1800" w:type="dxa"/>
            <w:noWrap/>
          </w:tcPr>
          <w:p>
            <w:pPr>
              <w:jc w:val="center"/>
              <w:spacing w:line="240" w:lineRule="auto"/>
            </w:pPr>
            <w:r>
              <w:rPr/>
              <w:t xml:space="preserve">18</w:t>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23</w:t>
            </w:r>
          </w:p>
        </w:tc>
        <w:tc>
          <w:tcPr>
            <w:tcW w:w="1800" w:type="dxa"/>
            <w:noWrap/>
          </w:tcPr>
          <w:p>
            <w:pPr>
              <w:jc w:val="center"/>
              <w:spacing w:line="240" w:lineRule="auto"/>
            </w:pPr>
            <w:r>
              <w:rPr/>
              <w:t xml:space="preserve">28</w:t>
            </w:r>
          </w:p>
        </w:tc>
      </w:tr>
    </w:tbl>
    <w:p>
      <w:pPr/>
      <w:r>
        <w:rPr/>
        <w:t xml:space="preserve"/>
      </w:r>
    </w:p>
    <w:p>
      <w:pPr>
        <w:spacing w:line="240" w:lineRule="auto"/>
      </w:pPr>
      <w:r>
        <w:rPr>
          <w:sz w:val="28"/>
          <w:szCs w:val="28"/>
          <w:b w:val="1"/>
          <w:bCs w:val="1"/>
          <w:u w:val="single"/>
        </w:rPr>
        <w:t xml:space="preserve">2025年員工組成人力結構-年齡(請各據點提供所屬據點的資料：總部/台中廠/MOTTI/東莞廠/昆山/TMA/TME/TMJ/TMU/其他海外據點)  (GRI 405-1)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年齡別─30歲以下</w:t>
            </w:r>
          </w:p>
        </w:tc>
        <w:tc>
          <w:tcPr>
            <w:tcW w:w="1800" w:type="dxa"/>
            <w:noWrap/>
          </w:tcPr>
          <w:p>
            <w:pPr>
              <w:jc w:val="center"/>
              <w:spacing w:line="240" w:lineRule="auto"/>
            </w:pPr>
            <w:r>
              <w:rPr>
                <w:sz w:val="24"/>
                <w:szCs w:val="24"/>
                <w:b w:val="1"/>
                <w:bCs w:val="1"/>
              </w:rPr>
              <w:t xml:space="preserve">年齡別─31~50歲</w:t>
            </w:r>
          </w:p>
        </w:tc>
        <w:tc>
          <w:tcPr>
            <w:tcW w:w="1800" w:type="dxa"/>
            <w:noWrap/>
          </w:tcPr>
          <w:p>
            <w:pPr>
              <w:jc w:val="center"/>
              <w:spacing w:line="240" w:lineRule="auto"/>
            </w:pPr>
            <w:r>
              <w:rPr>
                <w:sz w:val="24"/>
                <w:szCs w:val="24"/>
                <w:b w:val="1"/>
                <w:bCs w:val="1"/>
              </w:rPr>
              <w:t xml:space="preserve">年齡別─51歲以上</w:t>
            </w:r>
          </w:p>
        </w:tc>
        <w:tc>
          <w:tcPr>
            <w:tcW w:w="1800" w:type="dxa"/>
            <w:noWrap/>
          </w:tcPr>
          <w:p>
            <w:pPr>
              <w:jc w:val="center"/>
              <w:spacing w:line="240" w:lineRule="auto"/>
            </w:pPr>
            <w:r>
              <w:rPr>
                <w:sz w:val="24"/>
                <w:szCs w:val="24"/>
                <w:b w:val="1"/>
                <w:bCs w:val="1"/>
              </w:rPr>
              <w:t xml:space="preserve">年齡別─總數</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10</w:t>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18</w:t>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18</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28</w:t>
            </w:r>
          </w:p>
        </w:tc>
      </w:tr>
    </w:tbl>
    <w:p>
      <w:pPr/>
      <w:r>
        <w:rPr/>
        <w:t xml:space="preserve"/>
      </w:r>
    </w:p>
    <w:p>
      <w:pPr>
        <w:spacing w:line="240" w:lineRule="auto"/>
      </w:pPr>
      <w:r>
        <w:rPr>
          <w:sz w:val="28"/>
          <w:szCs w:val="28"/>
          <w:b w:val="1"/>
          <w:bCs w:val="1"/>
          <w:u w:val="single"/>
        </w:rPr>
        <w:t xml:space="preserve">2025年員工組成人力結構-雇用類型種類(請各據點提供所屬據點的資料：總部/台中廠/MOTTI/東莞廠/昆山/TMA/TME/TMJ/TMU/其他海外據點)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雇用類型─永久聘雇 (非定期契約)</w:t>
            </w:r>
          </w:p>
        </w:tc>
        <w:tc>
          <w:tcPr>
            <w:tcW w:w="1800" w:type="dxa"/>
            <w:noWrap/>
          </w:tcPr>
          <w:p>
            <w:pPr>
              <w:jc w:val="center"/>
              <w:spacing w:line="240" w:lineRule="auto"/>
            </w:pPr>
            <w:r>
              <w:rPr>
                <w:sz w:val="24"/>
                <w:szCs w:val="24"/>
                <w:b w:val="1"/>
                <w:bCs w:val="1"/>
              </w:rPr>
              <w:t xml:space="preserve">雇用類型─臨時(定期契約)</w:t>
            </w:r>
          </w:p>
        </w:tc>
        <w:tc>
          <w:tcPr>
            <w:tcW w:w="1800" w:type="dxa"/>
            <w:noWrap/>
          </w:tcPr>
          <w:p>
            <w:pPr>
              <w:jc w:val="center"/>
              <w:spacing w:line="240" w:lineRule="auto"/>
            </w:pPr>
            <w:r>
              <w:rPr>
                <w:sz w:val="24"/>
                <w:szCs w:val="24"/>
                <w:b w:val="1"/>
                <w:bCs w:val="1"/>
              </w:rPr>
              <w:t xml:space="preserve">雇用類型─無時數保證</w:t>
            </w:r>
          </w:p>
        </w:tc>
        <w:tc>
          <w:tcPr>
            <w:tcW w:w="1800" w:type="dxa"/>
            <w:noWrap/>
          </w:tcPr>
          <w:p>
            <w:pPr>
              <w:jc w:val="center"/>
              <w:spacing w:line="240" w:lineRule="auto"/>
            </w:pPr>
            <w:r>
              <w:rPr>
                <w:sz w:val="24"/>
                <w:szCs w:val="24"/>
                <w:b w:val="1"/>
                <w:bCs w:val="1"/>
              </w:rPr>
              <w:t xml:space="preserve">雇用類型─全職</w:t>
            </w:r>
          </w:p>
        </w:tc>
        <w:tc>
          <w:tcPr>
            <w:tcW w:w="1800" w:type="dxa"/>
            <w:noWrap/>
          </w:tcPr>
          <w:p>
            <w:pPr>
              <w:jc w:val="center"/>
              <w:spacing w:line="240" w:lineRule="auto"/>
            </w:pPr>
            <w:r>
              <w:rPr>
                <w:sz w:val="24"/>
                <w:szCs w:val="24"/>
                <w:b w:val="1"/>
                <w:bCs w:val="1"/>
              </w:rPr>
              <w:t xml:space="preserve">雇用類型─兼職</w:t>
            </w:r>
          </w:p>
        </w:tc>
        <w:tc>
          <w:tcPr>
            <w:tcW w:w="1800" w:type="dxa"/>
            <w:noWrap/>
          </w:tcPr>
          <w:p>
            <w:pPr>
              <w:jc w:val="center"/>
              <w:spacing w:line="240" w:lineRule="auto"/>
            </w:pPr>
            <w:r>
              <w:rPr>
                <w:sz w:val="24"/>
                <w:szCs w:val="24"/>
                <w:b w:val="1"/>
                <w:bCs w:val="1"/>
              </w:rPr>
              <w:t xml:space="preserve">雇用類型─總數</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10</w:t>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18</w:t>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26</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28</w:t>
            </w:r>
          </w:p>
        </w:tc>
      </w:tr>
    </w:tbl>
    <w:p>
      <w:pPr/>
      <w:r>
        <w:rPr/>
        <w:t xml:space="preserve"/>
      </w:r>
    </w:p>
    <w:p>
      <w:pPr>
        <w:spacing w:line="240" w:lineRule="auto"/>
      </w:pPr>
      <w:r>
        <w:rPr>
          <w:sz w:val="28"/>
          <w:szCs w:val="28"/>
          <w:b w:val="1"/>
          <w:bCs w:val="1"/>
          <w:u w:val="single"/>
        </w:rPr>
        <w:t xml:space="preserve">2025年員工組成人力結構-非員工(請各據點提供所屬據點的資料：總部/台中廠/MOTTI/東莞廠/昆山/TMA/TME/TMJ/TMU/其他海外據點)  (GRI 405-1) </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非員工工作者─(長期)承攬商 </w:t>
            </w:r>
          </w:p>
        </w:tc>
        <w:tc>
          <w:tcPr>
            <w:tcW w:w="1800" w:type="dxa"/>
            <w:noWrap/>
          </w:tcPr>
          <w:p>
            <w:pPr>
              <w:jc w:val="center"/>
              <w:spacing w:line="240" w:lineRule="auto"/>
            </w:pPr>
            <w:r>
              <w:rPr>
                <w:sz w:val="24"/>
                <w:szCs w:val="24"/>
                <w:b w:val="1"/>
                <w:bCs w:val="1"/>
              </w:rPr>
              <w:t xml:space="preserve">非員工工作者─保全人員</w:t>
            </w:r>
          </w:p>
        </w:tc>
        <w:tc>
          <w:tcPr>
            <w:tcW w:w="1800" w:type="dxa"/>
            <w:noWrap/>
          </w:tcPr>
          <w:p>
            <w:pPr>
              <w:jc w:val="center"/>
              <w:spacing w:line="240" w:lineRule="auto"/>
            </w:pPr>
            <w:r>
              <w:rPr>
                <w:sz w:val="24"/>
                <w:szCs w:val="24"/>
                <w:b w:val="1"/>
                <w:bCs w:val="1"/>
              </w:rPr>
              <w:t xml:space="preserve">非員工工作者─清潔人員</w:t>
            </w:r>
          </w:p>
        </w:tc>
        <w:tc>
          <w:tcPr>
            <w:tcW w:w="1800" w:type="dxa"/>
            <w:noWrap/>
          </w:tcPr>
          <w:p>
            <w:pPr>
              <w:jc w:val="center"/>
              <w:spacing w:line="240" w:lineRule="auto"/>
            </w:pPr>
            <w:r>
              <w:rPr>
                <w:sz w:val="24"/>
                <w:szCs w:val="24"/>
                <w:b w:val="1"/>
                <w:bCs w:val="1"/>
              </w:rPr>
              <w:t xml:space="preserve">非員工工作者─機電人員</w:t>
            </w:r>
          </w:p>
        </w:tc>
        <w:tc>
          <w:tcPr>
            <w:tcW w:w="1800" w:type="dxa"/>
            <w:noWrap/>
          </w:tcPr>
          <w:p>
            <w:pPr>
              <w:jc w:val="center"/>
              <w:spacing w:line="240" w:lineRule="auto"/>
            </w:pPr>
            <w:r>
              <w:rPr>
                <w:sz w:val="24"/>
                <w:szCs w:val="24"/>
                <w:b w:val="1"/>
                <w:bCs w:val="1"/>
              </w:rPr>
              <w:t xml:space="preserve">非員工工作者─植栽人員</w:t>
            </w:r>
          </w:p>
        </w:tc>
        <w:tc>
          <w:tcPr>
            <w:tcW w:w="1800" w:type="dxa"/>
            <w:noWrap/>
          </w:tcPr>
          <w:p>
            <w:pPr>
              <w:jc w:val="center"/>
              <w:spacing w:line="240" w:lineRule="auto"/>
            </w:pPr>
            <w:r>
              <w:rPr>
                <w:sz w:val="24"/>
                <w:szCs w:val="24"/>
                <w:b w:val="1"/>
                <w:bCs w:val="1"/>
              </w:rPr>
              <w:t xml:space="preserve">非員工工作者─食堂人員</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非員工工作者─派遣員工(台中) 協力廠商，不在正式員工人數內</w:t>
            </w:r>
          </w:p>
        </w:tc>
        <w:tc>
          <w:tcPr>
            <w:tcW w:w="1800" w:type="dxa"/>
            <w:noWrap/>
          </w:tcPr>
          <w:p>
            <w:pPr>
              <w:jc w:val="center"/>
              <w:spacing w:line="240" w:lineRule="auto"/>
            </w:pPr>
            <w:r>
              <w:rPr>
                <w:sz w:val="24"/>
                <w:szCs w:val="24"/>
                <w:b w:val="1"/>
                <w:bCs w:val="1"/>
              </w:rPr>
              <w:t xml:space="preserve">非員工工作者─總數</w:t>
            </w:r>
          </w:p>
        </w:tc>
      </w:tr>
      <w:tr>
        <w:trPr/>
        <w:tc>
          <w:tcPr>
            <w:tcW w:w="1800" w:type="dxa"/>
            <w:noWrap/>
          </w:tcPr>
          <w:p>
            <w:pPr>
              <w:jc w:val="center"/>
              <w:spacing w:line="240" w:lineRule="auto"/>
            </w:pPr>
            <w:r>
              <w:rPr>
                <w:sz w:val="24"/>
                <w:szCs w:val="24"/>
                <w:b w:val="1"/>
                <w:bCs w:val="1"/>
              </w:rPr>
              <w:t xml:space="preserve">MOTTI-男性人數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MOTTI-女性人數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MOTTI-總計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0</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6.3人才資本管理</w:t>
      </w:r>
    </w:p>
    <w:p>
      <w:pPr/>
      <w:r>
        <w:rPr/>
        <w:t xml:space="preserve"/>
      </w:r>
    </w:p>
    <w:p>
      <w:pPr>
        <w:spacing w:line="240" w:lineRule="auto"/>
      </w:pPr>
      <w:r>
        <w:rPr>
          <w:sz w:val="28"/>
          <w:szCs w:val="28"/>
          <w:b w:val="1"/>
          <w:bCs w:val="1"/>
          <w:u w:val="single"/>
        </w:rPr>
        <w:t xml:space="preserve">2025年新進員工比例(請各據點提供所屬據點的資料：總部/台中廠/MOTTI/東莞廠/昆山/TMA/TME/TMJ/TMU/其他海外據點)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12</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5</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21</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7</w:t>
            </w:r>
          </w:p>
        </w:tc>
      </w:tr>
      <w:tr>
        <w:trPr/>
        <w:tc>
          <w:tcPr>
            <w:tcW w:w="1800" w:type="dxa"/>
            <w:noWrap/>
          </w:tcPr>
          <w:p>
            <w:pPr>
              <w:jc w:val="center"/>
              <w:spacing w:line="240" w:lineRule="auto"/>
            </w:pPr>
            <w:r>
              <w:rPr>
                <w:sz w:val="24"/>
                <w:szCs w:val="24"/>
                <w:b w:val="1"/>
                <w:bCs w:val="1"/>
              </w:rPr>
              <w:t xml:space="preserve">新進率</w:t>
            </w:r>
          </w:p>
        </w:tc>
        <w:tc>
          <w:tcPr>
            <w:tcW w:w="1800" w:type="dxa"/>
            <w:noWrap/>
          </w:tcPr>
          <w:p>
            <w:pPr>
              <w:jc w:val="center"/>
              <w:spacing w:line="240" w:lineRule="auto"/>
            </w:pPr>
            <w:r>
              <w:rPr/>
              <w:t xml:space="preserve">19%</w:t>
            </w:r>
          </w:p>
        </w:tc>
        <w:tc>
          <w:tcPr>
            <w:tcW w:w="1800" w:type="dxa"/>
            <w:noWrap/>
          </w:tcPr>
          <w:p>
            <w:pPr>
              <w:jc w:val="center"/>
              <w:spacing w:line="240" w:lineRule="auto"/>
            </w:pPr>
            <w:r>
              <w:rPr/>
              <w:t xml:space="preserve">38%</w:t>
            </w:r>
          </w:p>
        </w:tc>
        <w:tc>
          <w:tcPr>
            <w:tcW w:w="1800" w:type="dxa"/>
            <w:noWrap/>
          </w:tcPr>
          <w:p>
            <w:pPr>
              <w:jc w:val="center"/>
              <w:spacing w:line="240" w:lineRule="auto"/>
            </w:pPr>
            <w:r>
              <w:rPr/>
              <w:t xml:space="preserve">58%</w:t>
            </w:r>
          </w:p>
        </w:tc>
        <w:tc>
          <w:tcPr>
            <w:tcW w:w="1800" w:type="dxa"/>
            <w:noWrap/>
          </w:tcPr>
          <w:p>
            <w:pPr>
              <w:jc w:val="center"/>
              <w:spacing w:line="240" w:lineRule="auto"/>
            </w:pPr>
            <w:r>
              <w:rPr/>
              <w:t xml:space="preserve">14%</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24%</w:t>
            </w:r>
          </w:p>
        </w:tc>
      </w:tr>
    </w:tbl>
    <w:p>
      <w:pPr/>
      <w:r>
        <w:rPr/>
        <w:t xml:space="preserve"/>
      </w:r>
    </w:p>
    <w:p>
      <w:pPr>
        <w:spacing w:line="240" w:lineRule="auto"/>
      </w:pPr>
      <w:r>
        <w:rPr>
          <w:sz w:val="28"/>
          <w:szCs w:val="28"/>
          <w:b w:val="1"/>
          <w:bCs w:val="1"/>
          <w:u w:val="single"/>
        </w:rPr>
        <w:t xml:space="preserve">請說明上述新進率變化的原因(請各據點提供所屬據點的資料：總部/台中廠/MOTTI/東莞廠/昆山/TMA/TME/TMJ/TMU/其他海外據點)</w:t>
      </w:r>
    </w:p>
    <w:p>
      <w:pPr>
        <w:spacing w:line="240" w:lineRule="auto"/>
      </w:pPr>
      <w:r>
        <w:rPr/>
        <w:t xml:space="preserve">答案：2025新增人數較低, 因主要部門職缺已在2024完成招募, 2025較多的新進人員為職缺遞補</w:t>
      </w:r>
    </w:p>
    <w:p>
      <w:pPr/>
      <w:r>
        <w:rPr/>
        <w:t xml:space="preserve"/>
      </w:r>
    </w:p>
    <w:p>
      <w:pPr>
        <w:spacing w:line="240" w:lineRule="auto"/>
      </w:pPr>
      <w:r>
        <w:rPr>
          <w:sz w:val="28"/>
          <w:szCs w:val="28"/>
          <w:b w:val="1"/>
          <w:bCs w:val="1"/>
          <w:u w:val="single"/>
        </w:rPr>
        <w:t xml:space="preserve">2025年離職率(請各據點提供所屬據點的資料：總部/台中廠/MOTTI/東莞廠/昆山/TMA/TME/TMJ/TMU/其他海外據點)</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2024男性人數</w:t>
            </w:r>
          </w:p>
        </w:tc>
        <w:tc>
          <w:tcPr>
            <w:tcW w:w="1800" w:type="dxa"/>
            <w:noWrap/>
          </w:tcPr>
          <w:p>
            <w:pPr>
              <w:jc w:val="center"/>
              <w:spacing w:line="240" w:lineRule="auto"/>
            </w:pPr>
            <w:r>
              <w:rPr>
                <w:sz w:val="24"/>
                <w:szCs w:val="24"/>
                <w:b w:val="1"/>
                <w:bCs w:val="1"/>
              </w:rPr>
              <w:t xml:space="preserve"> 2024女性人數</w:t>
            </w:r>
          </w:p>
        </w:tc>
        <w:tc>
          <w:tcPr>
            <w:tcW w:w="1800" w:type="dxa"/>
            <w:noWrap/>
          </w:tcPr>
          <w:p>
            <w:pPr>
              <w:jc w:val="center"/>
              <w:spacing w:line="240" w:lineRule="auto"/>
            </w:pPr>
            <w:r>
              <w:rPr>
                <w:sz w:val="24"/>
                <w:szCs w:val="24"/>
                <w:b w:val="1"/>
                <w:bCs w:val="1"/>
              </w:rPr>
              <w:t xml:space="preserve">2024總數</w:t>
            </w:r>
          </w:p>
        </w:tc>
        <w:tc>
          <w:tcPr>
            <w:tcW w:w="1800" w:type="dxa"/>
            <w:noWrap/>
          </w:tcPr>
          <w:p>
            <w:pPr>
              <w:jc w:val="center"/>
              <w:spacing w:line="240" w:lineRule="auto"/>
            </w:pPr>
            <w:r>
              <w:rPr>
                <w:sz w:val="24"/>
                <w:szCs w:val="24"/>
                <w:b w:val="1"/>
                <w:bCs w:val="1"/>
              </w:rPr>
              <w:t xml:space="preserve">2025男性人數</w:t>
            </w:r>
          </w:p>
        </w:tc>
        <w:tc>
          <w:tcPr>
            <w:tcW w:w="1800" w:type="dxa"/>
            <w:noWrap/>
          </w:tcPr>
          <w:p>
            <w:pPr>
              <w:jc w:val="center"/>
              <w:spacing w:line="240" w:lineRule="auto"/>
            </w:pPr>
            <w:r>
              <w:rPr>
                <w:sz w:val="24"/>
                <w:szCs w:val="24"/>
                <w:b w:val="1"/>
                <w:bCs w:val="1"/>
              </w:rPr>
              <w:t xml:space="preserve"> 2025女性人數</w:t>
            </w:r>
          </w:p>
        </w:tc>
        <w:tc>
          <w:tcPr>
            <w:tcW w:w="1800" w:type="dxa"/>
            <w:noWrap/>
          </w:tcPr>
          <w:p>
            <w:pPr>
              <w:jc w:val="center"/>
              <w:spacing w:line="240" w:lineRule="auto"/>
            </w:pPr>
            <w:r>
              <w:rPr>
                <w:sz w:val="24"/>
                <w:szCs w:val="24"/>
                <w:b w:val="1"/>
                <w:bCs w:val="1"/>
              </w:rPr>
              <w:t xml:space="preserve">2025總數</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3</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2</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3</w:t>
            </w:r>
          </w:p>
        </w:tc>
        <w:tc>
          <w:tcPr>
            <w:tcW w:w="1800" w:type="dxa"/>
            <w:noWrap/>
          </w:tcPr>
          <w:p>
            <w:pPr>
              <w:jc w:val="center"/>
              <w:spacing w:line="240" w:lineRule="auto"/>
            </w:pPr>
            <w:r>
              <w:rPr/>
              <w:t xml:space="preserve">7</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9</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10</w:t>
            </w:r>
          </w:p>
        </w:tc>
      </w:tr>
    </w:tbl>
    <w:p>
      <w:pPr/>
      <w:r>
        <w:rPr/>
        <w:t xml:space="preserve"/>
      </w:r>
    </w:p>
    <w:p>
      <w:pPr>
        <w:spacing w:line="240" w:lineRule="auto"/>
      </w:pPr>
      <w:r>
        <w:rPr>
          <w:sz w:val="28"/>
          <w:szCs w:val="28"/>
          <w:b w:val="1"/>
          <w:bCs w:val="1"/>
          <w:u w:val="single"/>
        </w:rPr>
        <w:t xml:space="preserve">自願離職率及非自願離職率(請各據點提供所屬據點的資料：總部/台中廠/MOTTI/東莞廠/昆山/TMA/TME/TMJ/TMU/其他海外據點)</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自願離職率</w:t>
            </w:r>
          </w:p>
        </w:tc>
        <w:tc>
          <w:tcPr>
            <w:tcW w:w="1800" w:type="dxa"/>
            <w:noWrap/>
          </w:tcPr>
          <w:p>
            <w:pPr>
              <w:jc w:val="center"/>
              <w:spacing w:line="240" w:lineRule="auto"/>
            </w:pPr>
            <w:r>
              <w:rPr/>
              <w:t xml:space="preserve">66.6%</w:t>
            </w:r>
          </w:p>
        </w:tc>
        <w:tc>
          <w:tcPr>
            <w:tcW w:w="1800" w:type="dxa"/>
            <w:noWrap/>
          </w:tcPr>
          <w:p>
            <w:pPr>
              <w:jc w:val="center"/>
              <w:spacing w:line="240" w:lineRule="auto"/>
            </w:pPr>
            <w:r>
              <w:rPr/>
              <w:t xml:space="preserve">80%</w:t>
            </w:r>
          </w:p>
        </w:tc>
      </w:tr>
      <w:tr>
        <w:trPr/>
        <w:tc>
          <w:tcPr>
            <w:tcW w:w="1800" w:type="dxa"/>
            <w:noWrap/>
          </w:tcPr>
          <w:p>
            <w:pPr>
              <w:jc w:val="center"/>
              <w:spacing w:line="240" w:lineRule="auto"/>
            </w:pPr>
            <w:r>
              <w:rPr>
                <w:sz w:val="24"/>
                <w:szCs w:val="24"/>
                <w:b w:val="1"/>
                <w:bCs w:val="1"/>
              </w:rPr>
              <w:t xml:space="preserve">非自願離職率</w:t>
            </w:r>
          </w:p>
        </w:tc>
        <w:tc>
          <w:tcPr>
            <w:tcW w:w="1800" w:type="dxa"/>
            <w:noWrap/>
          </w:tcPr>
          <w:p>
            <w:pPr>
              <w:jc w:val="center"/>
              <w:spacing w:line="240" w:lineRule="auto"/>
            </w:pPr>
            <w:r>
              <w:rPr/>
              <w:t xml:space="preserve">33.3%</w:t>
            </w:r>
          </w:p>
        </w:tc>
        <w:tc>
          <w:tcPr>
            <w:tcW w:w="1800" w:type="dxa"/>
            <w:noWrap/>
          </w:tcPr>
          <w:p>
            <w:pPr>
              <w:jc w:val="center"/>
              <w:spacing w:line="240" w:lineRule="auto"/>
            </w:pPr>
            <w:r>
              <w:rPr/>
              <w:t xml:space="preserve">20%</w:t>
            </w:r>
          </w:p>
        </w:tc>
      </w:tr>
    </w:tbl>
    <w:p>
      <w:pPr/>
      <w:r>
        <w:rPr/>
        <w:t xml:space="preserve"/>
      </w:r>
    </w:p>
    <w:p>
      <w:pPr>
        <w:spacing w:line="240" w:lineRule="auto"/>
      </w:pPr>
      <w:r>
        <w:rPr>
          <w:sz w:val="28"/>
          <w:szCs w:val="28"/>
          <w:b w:val="1"/>
          <w:bCs w:val="1"/>
          <w:u w:val="single"/>
        </w:rPr>
        <w:t xml:space="preserve">請說明上述離職率的原因(請各據點提供所屬據點的資料：總部/台中廠/MOTTI/東莞廠/昆山/TMA/TME/TMJ/TMU/其他海外據點)</w:t>
      </w:r>
    </w:p>
    <w:p>
      <w:pPr>
        <w:spacing w:line="240" w:lineRule="auto"/>
      </w:pPr>
      <w:r>
        <w:rPr/>
        <w:t xml:space="preserve">答案：故能力不符合公司需要員工進行非自願離職, 自願離職員工則有其他人生規劃</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6.3.1 員工薪酬</w:t>
      </w:r>
    </w:p>
    <w:p>
      <w:pPr/>
      <w:r>
        <w:rPr/>
        <w:t xml:space="preserve"/>
      </w:r>
    </w:p>
    <w:p>
      <w:pPr>
        <w:spacing w:line="240" w:lineRule="auto"/>
      </w:pPr>
      <w:r>
        <w:rPr>
          <w:sz w:val="28"/>
          <w:szCs w:val="28"/>
          <w:b w:val="1"/>
          <w:bCs w:val="1"/>
          <w:u w:val="single"/>
        </w:rPr>
        <w:t xml:space="preserve">請據點【第一傳動/MOTTI】提供台灣公司全時員工薪資數據 (GRI 202-1)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2025年非擔任主管職務之全時員工人數(人)</w:t>
            </w:r>
          </w:p>
        </w:tc>
        <w:tc>
          <w:tcPr>
            <w:tcW w:w="1800" w:type="dxa"/>
            <w:noWrap/>
          </w:tcPr>
          <w:p>
            <w:pPr>
              <w:jc w:val="center"/>
              <w:spacing w:line="240" w:lineRule="auto"/>
            </w:pPr>
            <w:r>
              <w:rPr>
                <w:sz w:val="24"/>
                <w:szCs w:val="24"/>
                <w:b w:val="1"/>
                <w:bCs w:val="1"/>
              </w:rPr>
              <w:t xml:space="preserve">2025年非擔任主管職務之全時員工薪資平均數 (千元/人)</w:t>
            </w:r>
          </w:p>
        </w:tc>
        <w:tc>
          <w:tcPr>
            <w:tcW w:w="1800" w:type="dxa"/>
            <w:noWrap/>
          </w:tcPr>
          <w:p>
            <w:pPr>
              <w:jc w:val="center"/>
              <w:spacing w:line="240" w:lineRule="auto"/>
            </w:pPr>
            <w:r>
              <w:rPr>
                <w:sz w:val="24"/>
                <w:szCs w:val="24"/>
                <w:b w:val="1"/>
                <w:bCs w:val="1"/>
              </w:rPr>
              <w:t xml:space="preserve">2025年非擔任主管職之全時員工薪資中位數 (千元/人)</w:t>
            </w:r>
          </w:p>
        </w:tc>
      </w:tr>
    </w:tbl>
    <w:p>
      <w:pPr/>
      <w:r>
        <w:rPr/>
        <w:t xml:space="preserve"/>
      </w:r>
    </w:p>
    <w:p>
      <w:pPr>
        <w:spacing w:line="240" w:lineRule="auto"/>
      </w:pPr>
      <w:r>
        <w:rPr>
          <w:sz w:val="28"/>
          <w:szCs w:val="28"/>
          <w:b w:val="1"/>
          <w:bCs w:val="1"/>
          <w:u w:val="single"/>
        </w:rPr>
        <w:t xml:space="preserve">請據點【第一傳動/MOTTI】提供全時員工薪資平均數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請各據點(總部/台中/MOTTI/東莞廠/昆山/TMA/TME/TMJ/TMU)提供當地基本薪資比率</w:t>
      </w:r>
    </w:p>
    <w:p>
      <w:pPr>
        <w:spacing w:line="240" w:lineRule="auto"/>
      </w:pPr>
      <w:r>
        <w:rPr>
          <w:sz w:val="22"/>
          <w:szCs w:val="22"/>
        </w:rPr>
        <w:t xml:space="preserve">說明：
1.薪資定義：TiMOTION在該地區之基層人員平均員工固定月薪。
2.比率=基層人員薪資/當地最低薪資的比率。
3.計算方式舉例：若Y地區基本薪資為 30,000 元，男性基層員工平均固定月薪為35,000 元，女性為 33,000 元，則男性薪資為基本薪資的117%，女性為 110%。</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男性比率</w:t>
            </w:r>
          </w:p>
        </w:tc>
        <w:tc>
          <w:tcPr>
            <w:tcW w:w="1800" w:type="dxa"/>
            <w:noWrap/>
          </w:tcPr>
          <w:p>
            <w:pPr>
              <w:jc w:val="center"/>
              <w:spacing w:line="240" w:lineRule="auto"/>
            </w:pPr>
            <w:r>
              <w:rPr>
                <w:sz w:val="24"/>
                <w:szCs w:val="24"/>
                <w:b w:val="1"/>
                <w:bCs w:val="1"/>
              </w:rPr>
              <w:t xml:space="preserve">女性比率</w:t>
            </w:r>
          </w:p>
        </w:tc>
      </w:tr>
    </w:tbl>
    <w:p>
      <w:pPr/>
      <w:r>
        <w:rPr/>
        <w:t xml:space="preserve"/>
      </w:r>
    </w:p>
    <w:p>
      <w:pPr>
        <w:spacing w:line="240" w:lineRule="auto"/>
      </w:pPr>
      <w:r>
        <w:rPr>
          <w:sz w:val="28"/>
          <w:szCs w:val="28"/>
          <w:b w:val="1"/>
          <w:bCs w:val="1"/>
          <w:u w:val="single"/>
        </w:rPr>
        <w:t xml:space="preserve">貴公司是否進行性別薪資差距分析或同工同酬分析？[說明: 目標是希望不會因為性別或其他因素影響薪酬]</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6.3.2 勞資溝通</w:t>
      </w:r>
    </w:p>
    <w:p>
      <w:pPr/>
      <w:r>
        <w:rPr/>
        <w:t xml:space="preserve"/>
      </w:r>
    </w:p>
    <w:p>
      <w:pPr>
        <w:spacing w:line="240" w:lineRule="auto"/>
      </w:pPr>
      <w:r>
        <w:rPr>
          <w:sz w:val="28"/>
          <w:szCs w:val="28"/>
          <w:b w:val="1"/>
          <w:bCs w:val="1"/>
          <w:u w:val="single"/>
        </w:rPr>
        <w:t xml:space="preserve">請說明貴公司的勞資溝通的做法，以及員工加入工會情況與比例</w:t>
      </w:r>
    </w:p>
    <w:p>
      <w:pPr>
        <w:spacing w:line="240" w:lineRule="auto"/>
      </w:pPr>
      <w:r>
        <w:rPr>
          <w:sz w:val="22"/>
          <w:szCs w:val="22"/>
        </w:rPr>
        <w:t xml:space="preserve">2024年報告書
第一傳動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總部、台中廠皆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並無發生勞資糾紛爭訟事件及勞資間關係須協調之情事。
東莞廠依《中華人民共和國工會法》和《中華人民共和國民法總則》之規定審核，於2020年7月10日成立工會。截至2025年統計，共計30位同仁加入工會。
</w:t>
      </w:r>
    </w:p>
    <w:p>
      <w:pPr>
        <w:spacing w:line="240" w:lineRule="auto"/>
      </w:pPr>
      <w:r>
        <w:rPr/>
        <w:t xml:space="preserve">答案：本公司重視員工意見之傳達與回應，並鼓勵以開放、透明的溝通方式，持續提升員工士氣，營造互信互重的工作環境，維繫良好的員工關係。本公司尊重並保障員工依法享有之集會、結社自由等相關權利，並建立暢通的雙向溝通管道，以確保勞資雙方能即時交流與協調意見。
MOTTI定期召開公司勞資會議，每季舉辦一次勞資會議，依相關法規要求，勞方代表與資方代表各佔50%。邀請全公司同仁提供寶貴的建議，在同時可瞭解同仁對公司管理面及福利制度之意見，作為未來政策、制度改善之參考，故截至目前勞資雙方關係和諧。</w:t>
      </w:r>
    </w:p>
    <w:p>
      <w:pPr/>
      <w:r>
        <w:rPr/>
        <w:t xml:space="preserve"/>
      </w:r>
    </w:p>
    <w:p>
      <w:pPr>
        <w:spacing w:line="240" w:lineRule="auto"/>
      </w:pPr>
      <w:r>
        <w:rPr>
          <w:sz w:val="28"/>
          <w:szCs w:val="28"/>
          <w:b w:val="1"/>
          <w:bCs w:val="1"/>
          <w:u w:val="single"/>
        </w:rPr>
        <w:t xml:space="preserve">請說明關於營運變化的最短預告期 (GRI 402-1 )，請說明是否依據當地法規辦理</w:t>
      </w:r>
    </w:p>
    <w:p>
      <w:pPr>
        <w:spacing w:line="240" w:lineRule="auto"/>
      </w:pPr>
      <w:r>
        <w:rPr>
          <w:sz w:val="22"/>
          <w:szCs w:val="22"/>
        </w:rPr>
        <w:t xml:space="preserve">2024報告書：
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
【東莞】
	用人單位與勞動者協商一致，可以解除勞動合約。
	勞動者提前30日以書面形式通知用人單位，可以解除勞動合約。
	勞動者在試用期內提前3日通知用人單位，可以解除勞動合約。
</w:t>
      </w:r>
    </w:p>
    <w:p>
      <w:pPr>
        <w:spacing w:line="240" w:lineRule="auto"/>
      </w:pPr>
      <w:r>
        <w:rPr/>
        <w:t xml:space="preserve">答案：本公司依勞動相關法規辦理資遣預告，確保員工於合理期間內獲得通知與相關權益保障。對於員工離職情形，本公司重視並彙整員工離職原因，針對關鍵因素採取改善措施，包括優化工作環境、強化溝通機制及調整人力資源政策，以穩定員工留任率，持續維護組織人才穩定性與競爭力。
【台灣】
 工作3個月以上未滿1年：預告期10天
 工作1年以上未滿3年：預告期20天
 工作3年以上：預告期30天</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6.3.3 員工福利與照顧</w:t>
      </w:r>
    </w:p>
    <w:p>
      <w:pPr/>
      <w:r>
        <w:rPr/>
        <w:t xml:space="preserve"/>
      </w:r>
    </w:p>
    <w:p>
      <w:pPr>
        <w:spacing w:line="240" w:lineRule="auto"/>
      </w:pPr>
      <w:r>
        <w:rPr>
          <w:sz w:val="28"/>
          <w:szCs w:val="28"/>
          <w:b w:val="1"/>
          <w:bCs w:val="1"/>
          <w:u w:val="single"/>
        </w:rPr>
        <w:t xml:space="preserve">請說明貴公司提供給全職員工（不包含臨時或兼職員工）的福利</w:t>
      </w:r>
    </w:p>
    <w:p>
      <w:pPr>
        <w:spacing w:line="240" w:lineRule="auto"/>
      </w:pPr>
      <w:r>
        <w:rPr>
          <w:sz w:val="22"/>
          <w:szCs w:val="22"/>
        </w:rPr>
        <w:t xml:space="preserve">2024報告書
本公司員工福利政策如下：
1.	符合人體工學的自動升降辦公桌， 辦公室內所有員工皆適用
2.	TIMOTION企業大學
3.	每月3天的托育假 (小孩2.5歲前) ，優於法規規範
4.	出差特休 (出差11個天給予1天；出差21天給予2天) ，優於法規規範
5.	每季聚餐費：每季每位員工最高可支領新臺幣900元，每人合計每年不得超過新臺幣3,600元
6.	健康檢查：每兩年舉辦員工健檢
7.	年度旅遊補助
8.	三節禮金
9.	結婚禮金：每人補助新臺幣3,000元(員工到職服務滿3個月始符合資格)
10.	喪事慰問金：每人補助新臺幣2,100元(員工到職服務滿3個月始符合資格)
11.	生日禮金：每人發放新臺幣2,000元(生日當日到職滿3個月)
12.	夏天免費飲品
13.	提供員工認股方案
在保險部分，除了符合法規要求之外，本公司對於總部及台中廠員工額外提供團體保險及意外險；東莞廠之用人單位及勞動者皆依法參加社會保險，為職工辦理住房公積金繳存登記，並設立個人賬戶。
</w:t>
      </w:r>
    </w:p>
    <w:p>
      <w:pPr/>
      <w:r>
        <w:pict>
          <v:shape type="#_x0000_t75" stroked="f" style="width:200pt; height:54.892601431981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答案：本公司員工福利政策如下：
1. 符合人體工學的自動升降辦公桌， 辦公室內所有員工皆適用
2. 每月3天的托育假 (小孩2.5歲前) ，優於法規規範
3. 出差特休 (出差11個天給予1天；出差21天給予2天) ，優於法規規範
4. 每季聚餐費：每季每位員工最高可支領新臺幣900元，每人合計每年不得超過新臺幣3,600元
5. 健康檢查：每兩年舉辦員工健檢
6. 年度旅遊補助
7. 三節禮金
8. 結婚禮金：每人補助新臺幣3,000元(員工到職服務滿3個月始符合資格)
9. 喪事慰問金：每人補助新臺幣2,100元(員工到職服務滿3個月始符合資格)
10. 生日禮金：每人發放新臺幣2,000元(生日當日到職滿3個月)
11. 夏天免費飲品</w:t>
      </w:r>
    </w:p>
    <w:p>
      <w:pPr/>
      <w:r>
        <w:rPr/>
        <w:t xml:space="preserve"/>
      </w:r>
    </w:p>
    <w:p>
      <w:pPr>
        <w:spacing w:line="240" w:lineRule="auto"/>
      </w:pPr>
      <w:r>
        <w:rPr>
          <w:sz w:val="28"/>
          <w:szCs w:val="28"/>
          <w:b w:val="1"/>
          <w:bCs w:val="1"/>
          <w:u w:val="single"/>
        </w:rPr>
        <w:t xml:space="preserve">給全職員工是否包含以下</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福利</w:t>
            </w:r>
          </w:p>
        </w:tc>
      </w:tr>
      <w:tr>
        <w:trPr/>
        <w:tc>
          <w:tcPr>
            <w:tcW w:w="1800" w:type="dxa"/>
            <w:noWrap/>
          </w:tcPr>
          <w:p>
            <w:pPr>
              <w:jc w:val="center"/>
              <w:spacing w:line="240" w:lineRule="auto"/>
            </w:pPr>
            <w:r>
              <w:rPr>
                <w:sz w:val="24"/>
                <w:szCs w:val="24"/>
                <w:b w:val="1"/>
                <w:bCs w:val="1"/>
              </w:rPr>
              <w:t xml:space="preserve">壽險</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醫療險</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傷殘險</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育嬰假</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退休制度</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員工持股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請說明貴公司的育嬰假政策(GRI 401-3) </w:t>
      </w:r>
    </w:p>
    <w:p>
      <w:pPr>
        <w:spacing w:line="240" w:lineRule="auto"/>
      </w:pPr>
      <w:r>
        <w:rPr>
          <w:sz w:val="22"/>
          <w:szCs w:val="22"/>
        </w:rPr>
        <w:t xml:space="preserve">2024報告書：
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spacing w:line="240" w:lineRule="auto"/>
      </w:pPr>
      <w:r>
        <w:rPr/>
        <w:t xml:space="preserve">答案：育嬰假政策
本公司重視員工家庭與職涯兼顧，並依照各國法規提供相關規定。台灣地區依照《性別工作平等法》與《育嬰留職停薪實施辦法》提供最長2年育嬰留職停薪，並可請領育嬰津貼，最高可達薪資80%，最長6個月。東莞廠另規定，父母在子女未滿3歲期間，每年享10天帶薪育兒假。本公司會持續透過制度支持與經濟協助，營造友善家庭職場環境，提升人才吸引與留任品質。
</w:t>
      </w:r>
    </w:p>
    <w:p>
      <w:pPr/>
      <w:r>
        <w:rPr/>
        <w:t xml:space="preserve"/>
      </w:r>
    </w:p>
    <w:p>
      <w:pPr>
        <w:spacing w:line="240" w:lineRule="auto"/>
      </w:pPr>
      <w:r>
        <w:rPr>
          <w:sz w:val="28"/>
          <w:szCs w:val="28"/>
          <w:b w:val="1"/>
          <w:bCs w:val="1"/>
          <w:u w:val="single"/>
        </w:rPr>
        <w:t xml:space="preserve">2025年育嬰假後復職和留任統計【總部/台中廠/MOTTI/東莞廠/昆山/TMA/TME/TMJ/TMU】</w:t>
      </w:r>
    </w:p>
    <w:p>
      <w:pPr>
        <w:spacing w:line="240" w:lineRule="auto"/>
      </w:pPr>
      <w:r>
        <w:rPr>
          <w:sz w:val="22"/>
          <w:szCs w:val="22"/>
        </w:rPr>
        <w:t xml:space="preserve">註：統計自 2025年1月1日至2025年12月31日期間申請過產假、陪產假者，且2025年12月31日仍在職者。</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男性</w:t>
            </w:r>
          </w:p>
        </w:tc>
        <w:tc>
          <w:tcPr>
            <w:tcW w:w="1800" w:type="dxa"/>
            <w:noWrap/>
          </w:tcPr>
          <w:p>
            <w:pPr>
              <w:jc w:val="center"/>
              <w:spacing w:line="240" w:lineRule="auto"/>
            </w:pPr>
            <w:r>
              <w:rPr>
                <w:sz w:val="24"/>
                <w:szCs w:val="24"/>
                <w:b w:val="1"/>
                <w:bCs w:val="1"/>
              </w:rPr>
              <w:t xml:space="preserve">女性</w:t>
            </w:r>
          </w:p>
        </w:tc>
        <w:tc>
          <w:tcPr>
            <w:tcW w:w="1800" w:type="dxa"/>
            <w:noWrap/>
          </w:tcPr>
          <w:p>
            <w:pPr>
              <w:jc w:val="center"/>
              <w:spacing w:line="240" w:lineRule="auto"/>
            </w:pPr>
            <w:r>
              <w:rPr>
                <w:sz w:val="24"/>
                <w:szCs w:val="24"/>
                <w:b w:val="1"/>
                <w:bCs w:val="1"/>
              </w:rPr>
              <w:t xml:space="preserve">說明</w:t>
            </w:r>
          </w:p>
        </w:tc>
      </w:tr>
      <w:tr>
        <w:trPr/>
        <w:tc>
          <w:tcPr>
            <w:tcW w:w="1800" w:type="dxa"/>
            <w:noWrap/>
          </w:tcPr>
          <w:p>
            <w:pPr>
              <w:jc w:val="center"/>
              <w:spacing w:line="240" w:lineRule="auto"/>
            </w:pPr>
            <w:r>
              <w:rPr>
                <w:sz w:val="24"/>
                <w:szCs w:val="24"/>
                <w:b w:val="1"/>
                <w:bCs w:val="1"/>
              </w:rPr>
              <w:t xml:space="preserve">2025年符合育嬰留停申請資格人數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2025年實際申請育嬰留停人數</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2025年應復職總人數(A)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2025年復職總人數(B)</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2025年復職率(B/A)(%)</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2024年復職總人數(C)</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2024年復職後12個月仍在職人數(D)</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2025年留任率(D/C)(%)</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請問貴公司有無提供員工過渡協助方案？ (GRI 404-2)</w:t>
      </w:r>
    </w:p>
    <w:p>
      <w:pPr/>
      <w:r>
        <w:rPr/>
        <w:t xml:space="preserve"/>
      </w:r>
    </w:p>
    <w:p>
      <w:pPr>
        <w:spacing w:line="240" w:lineRule="auto"/>
      </w:pPr>
      <w:r>
        <w:rPr>
          <w:sz w:val="28"/>
          <w:szCs w:val="28"/>
          <w:b w:val="1"/>
          <w:bCs w:val="1"/>
          <w:u w:val="single"/>
        </w:rPr>
        <w:t xml:space="preserve">公司是否提供特殊培訓和/或措施，以促進員工在以下領域的健康和福祉？ 請說明公司2025年現況</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2025年現況</w:t>
            </w:r>
          </w:p>
        </w:tc>
      </w:tr>
      <w:tr>
        <w:trPr/>
        <w:tc>
          <w:tcPr>
            <w:tcW w:w="1800" w:type="dxa"/>
            <w:noWrap/>
          </w:tcPr>
          <w:p>
            <w:pPr>
              <w:jc w:val="center"/>
              <w:spacing w:line="240" w:lineRule="auto"/>
            </w:pPr>
            <w:r>
              <w:rPr>
                <w:sz w:val="24"/>
                <w:szCs w:val="24"/>
                <w:b w:val="1"/>
                <w:bCs w:val="1"/>
              </w:rPr>
              <w:t xml:space="preserve">員工福利─工作場所壓力管理</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員工福利─運動和健康計劃</w:t>
            </w:r>
          </w:p>
        </w:tc>
        <w:tc>
          <w:tcPr>
            <w:tcW w:w="1800" w:type="dxa"/>
            <w:noWrap/>
          </w:tcPr>
          <w:p>
            <w:pPr>
              <w:jc w:val="center"/>
              <w:spacing w:line="240" w:lineRule="auto"/>
            </w:pPr>
            <w:r>
              <w:rPr/>
              <w:t xml:space="preserve">目前沒有</w:t>
            </w:r>
          </w:p>
        </w:tc>
      </w:tr>
      <w:tr>
        <w:trPr/>
        <w:tc>
          <w:tcPr>
            <w:tcW w:w="1800" w:type="dxa"/>
            <w:noWrap/>
          </w:tcPr>
          <w:p>
            <w:pPr>
              <w:jc w:val="center"/>
              <w:spacing w:line="240" w:lineRule="auto"/>
            </w:pPr>
            <w:r>
              <w:rPr>
                <w:sz w:val="24"/>
                <w:szCs w:val="24"/>
                <w:b w:val="1"/>
                <w:bCs w:val="1"/>
              </w:rPr>
              <w:t xml:space="preserve">工作條件─彈性工作時間 </w:t>
            </w:r>
          </w:p>
        </w:tc>
        <w:tc>
          <w:tcPr>
            <w:tcW w:w="1800" w:type="dxa"/>
            <w:noWrap/>
          </w:tcPr>
          <w:p>
            <w:pPr>
              <w:jc w:val="center"/>
              <w:spacing w:line="240" w:lineRule="auto"/>
            </w:pPr>
            <w:r>
              <w:rPr/>
              <w:t xml:space="preserve">目前本公司採取2小時的彈性工作時間
上班時間由8:30-10:30</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目前沒有</w:t>
            </w:r>
          </w:p>
        </w:tc>
      </w:tr>
      <w:tr>
        <w:trPr/>
        <w:tc>
          <w:tcPr>
            <w:tcW w:w="1800" w:type="dxa"/>
            <w:noWrap/>
          </w:tcPr>
          <w:p>
            <w:pPr>
              <w:jc w:val="center"/>
              <w:spacing w:line="240" w:lineRule="auto"/>
            </w:pPr>
            <w:r>
              <w:rPr>
                <w:sz w:val="24"/>
                <w:szCs w:val="24"/>
                <w:b w:val="1"/>
                <w:bCs w:val="1"/>
              </w:rPr>
              <w:t xml:space="preserve">工作條件─在家工作安排</w:t>
            </w:r>
          </w:p>
        </w:tc>
        <w:tc>
          <w:tcPr>
            <w:tcW w:w="1800" w:type="dxa"/>
            <w:noWrap/>
          </w:tcPr>
          <w:p>
            <w:pPr>
              <w:jc w:val="center"/>
              <w:spacing w:line="240" w:lineRule="auto"/>
            </w:pPr>
            <w:r>
              <w:rPr/>
              <w:t xml:space="preserve">目前沒有</w:t>
            </w:r>
          </w:p>
        </w:tc>
      </w:tr>
      <w:tr>
        <w:trPr/>
        <w:tc>
          <w:tcPr>
            <w:tcW w:w="1800" w:type="dxa"/>
            <w:noWrap/>
          </w:tcPr>
          <w:p>
            <w:pPr>
              <w:jc w:val="center"/>
              <w:spacing w:line="240" w:lineRule="auto"/>
            </w:pPr>
            <w:r>
              <w:rPr>
                <w:sz w:val="24"/>
                <w:szCs w:val="24"/>
                <w:b w:val="1"/>
                <w:bCs w:val="1"/>
              </w:rPr>
              <w:t xml:space="preserve">家庭福利─兒童照顧設施或津貼</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家庭福利─哺乳/泵奶設施或福利</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家庭福利─主要照顧者的有薪育嬰假（請輸入提供給大多數員工的有薪假期總數，以週為單位）：</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家庭福利─非主要照顧者的有薪育嬰假（請輸入提供給大多數員工的有薪假期總數，以週為單位）</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家庭福利─在育嬰假之外，提供給薪的家庭照顧假（照護兒童、配偶、伴侶、受撫養者、父母、兄弟姐妹或其他有身體或精神健康問題的親屬）</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對於主要照顧者超過最低法律要求的給薪育兒假。請註明給薪周數。</w:t>
      </w:r>
    </w:p>
    <w:p>
      <w:pPr/>
      <w:r>
        <w:rPr/>
        <w:t xml:space="preserve"/>
      </w:r>
    </w:p>
    <w:p>
      <w:pPr>
        <w:spacing w:line="240" w:lineRule="auto"/>
      </w:pPr>
      <w:r>
        <w:rPr>
          <w:sz w:val="28"/>
          <w:szCs w:val="28"/>
          <w:b w:val="1"/>
          <w:bCs w:val="1"/>
          <w:u w:val="single"/>
        </w:rPr>
        <w:t xml:space="preserve">超過最低法律要求的照顧者。請註明給薪周數。</w:t>
      </w:r>
    </w:p>
    <w:p>
      <w:pPr/>
      <w:r>
        <w:rPr/>
        <w:t xml:space="preserve"/>
      </w:r>
    </w:p>
    <w:p>
      <w:pPr>
        <w:spacing w:line="240" w:lineRule="auto"/>
      </w:pPr>
      <w:r>
        <w:rPr>
          <w:sz w:val="28"/>
          <w:szCs w:val="28"/>
          <w:b w:val="1"/>
          <w:bCs w:val="1"/>
          <w:u w:val="single"/>
        </w:rPr>
        <w:t xml:space="preserve">請問貴公司對於原住民同仁以及外籍員工之照顧</w:t>
      </w:r>
    </w:p>
    <w:p>
      <w:pPr>
        <w:spacing w:line="240" w:lineRule="auto"/>
      </w:pPr>
      <w:r>
        <w:rPr>
          <w:sz w:val="22"/>
          <w:szCs w:val="22"/>
        </w:rPr>
        <w:t xml:space="preserve">範例：
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spacing w:line="240" w:lineRule="auto"/>
      </w:pPr>
      <w:r>
        <w:rPr/>
        <w:t xml:space="preserve">答案：公司重視多元與包容的職場文化，對於原住民同仁及外籍員工提供平等的就業與發展機會。
招募及晉升制度一律以職能與績效為依據，不因族群、國籍、性別或宗教而有所差別。
生活協助：提供外籍員工宿舍、勞動權益諮詢服務。
教育訓練：針對原住民與外籍員工提供語言與專業技能培訓課程，協助提升工作能力
</w:t>
      </w:r>
    </w:p>
    <w:p>
      <w:pPr/>
      <w:r>
        <w:rPr/>
        <w:t xml:space="preserve"/>
      </w:r>
    </w:p>
    <w:p>
      <w:pPr>
        <w:spacing w:line="240" w:lineRule="auto"/>
      </w:pPr>
      <w:r>
        <w:rPr>
          <w:sz w:val="28"/>
          <w:szCs w:val="28"/>
          <w:b w:val="1"/>
          <w:bCs w:val="1"/>
          <w:u w:val="single"/>
        </w:rPr>
        <w:t xml:space="preserve">請問貴公司是否有促進員工安家生養之相關作為？</w:t>
      </w:r>
    </w:p>
    <w:p>
      <w:pPr>
        <w:spacing w:line="240" w:lineRule="auto"/>
      </w:pPr>
      <w:r>
        <w:rPr>
          <w:sz w:val="22"/>
          <w:szCs w:val="22"/>
        </w:rPr>
        <w:t xml:space="preserve">範例：
1.推動員工宿舍、租屋補助及員工購屋貸款利息補貼，減輕生活壓力
2.給新的家庭照顧假X日
3.彈性工時及部分遠距工作安排</w:t>
      </w:r>
    </w:p>
    <w:p>
      <w:pPr>
        <w:spacing w:line="240" w:lineRule="auto"/>
      </w:pPr>
      <w:r>
        <w:rPr/>
        <w:t xml:space="preserve">答案：.彈性工時及部分遠距工作安排</w:t>
      </w:r>
    </w:p>
    <w:p>
      <w:pPr/>
      <w:r>
        <w:rPr/>
        <w:t xml:space="preserve"/>
      </w:r>
    </w:p>
    <w:p>
      <w:pPr>
        <w:spacing w:line="240" w:lineRule="auto"/>
      </w:pPr>
      <w:r>
        <w:rPr>
          <w:sz w:val="28"/>
          <w:szCs w:val="28"/>
          <w:b w:val="1"/>
          <w:bCs w:val="1"/>
          <w:u w:val="single"/>
        </w:rPr>
        <w:t xml:space="preserve">關於貴公司的員工聆聽策略及做法，請說明</w:t>
      </w:r>
    </w:p>
    <w:p>
      <w:pPr>
        <w:spacing w:line="240" w:lineRule="auto"/>
      </w:pPr>
      <w:r>
        <w:rPr>
          <w:sz w:val="22"/>
          <w:szCs w:val="22"/>
        </w:rPr>
        <w:t xml:space="preserve">範例：
員工意見蒐集與溝通的方式（例：意見箱、調查、座談會）。
意見如何被彙整與回應。
是否有制度化機制（例：員工滿意度調查、員工代表會、申訴專線等）。
實際改善成效或回饋方式。</w:t>
      </w:r>
    </w:p>
    <w:p>
      <w:pPr>
        <w:spacing w:line="240" w:lineRule="auto"/>
      </w:pPr>
      <w:r>
        <w:rPr/>
        <w:t xml:space="preserve">答案：員工意見蒐集與溝通的方式（例：意見箱、調查、座談會）。
意見如何被彙整與回應。
是否有制度化機制（例：員工滿意度調查、員工代表會、申訴專線等）。
實際改善成效或回饋方式。</w:t>
      </w:r>
    </w:p>
    <w:p>
      <w:pPr/>
      <w:r>
        <w:rPr/>
        <w:t xml:space="preserve"/>
      </w:r>
    </w:p>
    <w:p>
      <w:pPr>
        <w:spacing w:line="240" w:lineRule="auto"/>
      </w:pPr>
      <w:r>
        <w:rPr>
          <w:sz w:val="28"/>
          <w:szCs w:val="28"/>
          <w:b w:val="1"/>
          <w:bCs w:val="1"/>
          <w:u w:val="single"/>
        </w:rPr>
        <w:t xml:space="preserve">請問 貴公司是否有例行性勞資協商制度？</w:t>
      </w:r>
    </w:p>
    <w:p>
      <w:pPr/>
      <w:r>
        <w:rPr/>
        <w:t xml:space="preserve"/>
      </w:r>
    </w:p>
    <w:p>
      <w:pPr>
        <w:spacing w:line="240" w:lineRule="auto"/>
      </w:pPr>
      <w:r>
        <w:rPr>
          <w:sz w:val="28"/>
          <w:szCs w:val="28"/>
          <w:b w:val="1"/>
          <w:bCs w:val="1"/>
          <w:u w:val="single"/>
        </w:rPr>
        <w:t xml:space="preserve">請問 貴公司是否有新進人員意見收集，若有，請說明最新作法</w:t>
      </w:r>
    </w:p>
    <w:p>
      <w:pPr/>
      <w:r>
        <w:rPr/>
        <w:t xml:space="preserve"/>
      </w:r>
    </w:p>
    <w:p>
      <w:pPr>
        <w:spacing w:line="240" w:lineRule="auto"/>
      </w:pPr>
      <w:r>
        <w:rPr>
          <w:sz w:val="28"/>
          <w:szCs w:val="28"/>
          <w:b w:val="1"/>
          <w:bCs w:val="1"/>
          <w:u w:val="single"/>
        </w:rPr>
        <w:t xml:space="preserve">請問貴公司是否有已離職人員意見收集？若有，請說明最新作法</w:t>
      </w:r>
    </w:p>
    <w:p>
      <w:pPr/>
      <w:r>
        <w:rPr/>
        <w:t xml:space="preserve"/>
      </w:r>
    </w:p>
    <w:p>
      <w:pPr>
        <w:spacing w:line="240" w:lineRule="auto"/>
      </w:pPr>
      <w:r>
        <w:rPr>
          <w:sz w:val="28"/>
          <w:szCs w:val="28"/>
          <w:b w:val="1"/>
          <w:bCs w:val="1"/>
          <w:u w:val="single"/>
        </w:rPr>
        <w:t xml:space="preserve">若有其他員工聆聽策略及做法（如總經理信箱、同仁意見專區等），請說明</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6.3.4 人才培育與訓練</w:t>
      </w:r>
    </w:p>
    <w:p>
      <w:pPr/>
      <w:r>
        <w:rPr/>
        <w:t xml:space="preserve"/>
      </w:r>
    </w:p>
    <w:p>
      <w:pPr>
        <w:spacing w:line="240" w:lineRule="auto"/>
      </w:pPr>
      <w:r>
        <w:rPr>
          <w:sz w:val="28"/>
          <w:szCs w:val="28"/>
          <w:b w:val="1"/>
          <w:bCs w:val="1"/>
          <w:u w:val="single"/>
        </w:rPr>
        <w:t xml:space="preserve">請說明貴公司的員工訓練作法和成果（並說明受訓人次及總費用等）</w:t>
      </w:r>
    </w:p>
    <w:p>
      <w:pPr>
        <w:spacing w:line="240" w:lineRule="auto"/>
      </w:pPr>
      <w:r>
        <w:rPr>
          <w:sz w:val="22"/>
          <w:szCs w:val="22"/>
        </w:rPr>
        <w:t xml:space="preserve">2024報告書
第一傳動致力打造具備競爭力與前瞻視野的專業團隊，本公司設立企業大學，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
</w:t>
      </w:r>
    </w:p>
    <w:p>
      <w:pPr>
        <w:spacing w:line="240" w:lineRule="auto"/>
      </w:pPr>
      <w:r>
        <w:rPr/>
        <w:t xml:space="preserve">答案：依據企業發展策略與員工職涯規劃，建立培訓體制，涵蓋新進人員訓練、專業技能提升、跨領域學習及領導力發展等課程，並運用數位化學習平台，提供彈性且多元的學習資源。
本公司鼓勵員工自我成長，透過績效評估與職涯諮詢，協助設定發展目標與行動計畫，確保培訓成果落實於工作表現。第一傳動期望吸引、留任並激勵優秀人才，與公司共同實現永續成長的願景。</w:t>
      </w:r>
    </w:p>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依照職級</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1.6</w:t>
            </w:r>
          </w:p>
        </w:tc>
        <w:tc>
          <w:tcPr>
            <w:tcW w:w="1800" w:type="dxa"/>
            <w:noWrap/>
          </w:tcPr>
          <w:p>
            <w:pPr>
              <w:jc w:val="center"/>
              <w:spacing w:line="240" w:lineRule="auto"/>
            </w:pPr>
            <w:r>
              <w:rPr/>
              <w:t xml:space="preserve">1</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20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0.8</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0.8</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 依照年齡</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訓練總時數-男性</w:t>
            </w:r>
          </w:p>
        </w:tc>
        <w:tc>
          <w:tcPr>
            <w:tcW w:w="1800" w:type="dxa"/>
            <w:noWrap/>
          </w:tcPr>
          <w:p>
            <w:pPr>
              <w:jc w:val="center"/>
              <w:spacing w:line="240" w:lineRule="auto"/>
            </w:pPr>
            <w:r>
              <w:rPr>
                <w:sz w:val="24"/>
                <w:szCs w:val="24"/>
                <w:b w:val="1"/>
                <w:bCs w:val="1"/>
              </w:rPr>
              <w:t xml:space="preserve">訓練總時數-女性</w:t>
            </w:r>
          </w:p>
        </w:tc>
        <w:tc>
          <w:tcPr>
            <w:tcW w:w="1800" w:type="dxa"/>
            <w:noWrap/>
          </w:tcPr>
          <w:p>
            <w:pPr>
              <w:jc w:val="center"/>
              <w:spacing w:line="240" w:lineRule="auto"/>
            </w:pPr>
            <w:r>
              <w:rPr>
                <w:sz w:val="24"/>
                <w:szCs w:val="24"/>
                <w:b w:val="1"/>
                <w:bCs w:val="1"/>
              </w:rPr>
              <w:t xml:space="preserve">訓練總時數-合計</w:t>
            </w:r>
          </w:p>
        </w:tc>
        <w:tc>
          <w:tcPr>
            <w:tcW w:w="1800" w:type="dxa"/>
            <w:noWrap/>
          </w:tcPr>
          <w:p>
            <w:pPr>
              <w:jc w:val="center"/>
              <w:spacing w:line="240" w:lineRule="auto"/>
            </w:pPr>
            <w:r>
              <w:rPr>
                <w:sz w:val="24"/>
                <w:szCs w:val="24"/>
                <w:b w:val="1"/>
                <w:bCs w:val="1"/>
              </w:rPr>
              <w:t xml:space="preserve">平均訓練時數-男性</w:t>
            </w:r>
          </w:p>
        </w:tc>
        <w:tc>
          <w:tcPr>
            <w:tcW w:w="1800" w:type="dxa"/>
            <w:noWrap/>
          </w:tcPr>
          <w:p>
            <w:pPr>
              <w:jc w:val="center"/>
              <w:spacing w:line="240" w:lineRule="auto"/>
            </w:pPr>
            <w:r>
              <w:rPr>
                <w:sz w:val="24"/>
                <w:szCs w:val="24"/>
                <w:b w:val="1"/>
                <w:bCs w:val="1"/>
              </w:rPr>
              <w:t xml:space="preserve">平均訓練時數-女性</w:t>
            </w:r>
          </w:p>
        </w:tc>
        <w:tc>
          <w:tcPr>
            <w:tcW w:w="1800" w:type="dxa"/>
            <w:noWrap/>
          </w:tcPr>
          <w:p>
            <w:pPr>
              <w:jc w:val="center"/>
              <w:spacing w:line="240" w:lineRule="auto"/>
            </w:pPr>
            <w:r>
              <w:rPr>
                <w:sz w:val="24"/>
                <w:szCs w:val="24"/>
                <w:b w:val="1"/>
                <w:bCs w:val="1"/>
              </w:rPr>
              <w:t xml:space="preserve">平均訓練時數-合計</w:t>
            </w:r>
          </w:p>
        </w:tc>
      </w:tr>
      <w:tr>
        <w:trPr/>
        <w:tc>
          <w:tcPr>
            <w:tcW w:w="1800" w:type="dxa"/>
            <w:noWrap/>
          </w:tcPr>
          <w:p>
            <w:pPr>
              <w:jc w:val="center"/>
              <w:spacing w:line="240" w:lineRule="auto"/>
            </w:pPr>
            <w:r>
              <w:rPr>
                <w:sz w:val="24"/>
                <w:szCs w:val="24"/>
                <w:b w:val="1"/>
                <w:bCs w:val="1"/>
              </w:rPr>
              <w:t xml:space="preserve">30歲(含)以下</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0.8</w:t>
            </w:r>
          </w:p>
        </w:tc>
      </w:tr>
      <w:tr>
        <w:trPr/>
        <w:tc>
          <w:tcPr>
            <w:tcW w:w="1800" w:type="dxa"/>
            <w:noWrap/>
          </w:tcPr>
          <w:p>
            <w:pPr>
              <w:jc w:val="center"/>
              <w:spacing w:line="240" w:lineRule="auto"/>
            </w:pPr>
            <w:r>
              <w:rPr>
                <w:sz w:val="24"/>
                <w:szCs w:val="24"/>
                <w:b w:val="1"/>
                <w:bCs w:val="1"/>
              </w:rPr>
              <w:t xml:space="preserve">31-50歲(含)以下</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17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1.8</w:t>
            </w:r>
          </w:p>
        </w:tc>
        <w:tc>
          <w:tcPr>
            <w:tcW w:w="1800" w:type="dxa"/>
            <w:noWrap/>
          </w:tcPr>
          <w:p>
            <w:pPr>
              <w:jc w:val="center"/>
              <w:spacing w:line="240" w:lineRule="auto"/>
            </w:pPr>
            <w:r>
              <w:rPr/>
              <w:t xml:space="preserve">0.9</w:t>
            </w:r>
          </w:p>
        </w:tc>
      </w:tr>
      <w:tr>
        <w:trPr/>
        <w:tc>
          <w:tcPr>
            <w:tcW w:w="1800" w:type="dxa"/>
            <w:noWrap/>
          </w:tcPr>
          <w:p>
            <w:pPr>
              <w:jc w:val="center"/>
              <w:spacing w:line="240" w:lineRule="auto"/>
            </w:pPr>
            <w:r>
              <w:rPr>
                <w:sz w:val="24"/>
                <w:szCs w:val="24"/>
                <w:b w:val="1"/>
                <w:bCs w:val="1"/>
              </w:rPr>
              <w:t xml:space="preserve">51歲以上</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25</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0.8</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請各據點(總部/台中廠/MOTTI/東莞廠/昆山/TMA/TME/TMJ/TMU)填寫貴公司2025年員工訓練時數– 依照培訓計畫類型</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男性(時數)</w:t>
            </w:r>
          </w:p>
        </w:tc>
        <w:tc>
          <w:tcPr>
            <w:tcW w:w="1800" w:type="dxa"/>
            <w:noWrap/>
          </w:tcPr>
          <w:p>
            <w:pPr>
              <w:jc w:val="center"/>
              <w:spacing w:line="240" w:lineRule="auto"/>
            </w:pPr>
            <w:r>
              <w:rPr>
                <w:sz w:val="24"/>
                <w:szCs w:val="24"/>
                <w:b w:val="1"/>
                <w:bCs w:val="1"/>
              </w:rPr>
              <w:t xml:space="preserve">女性(時數)</w:t>
            </w:r>
          </w:p>
        </w:tc>
      </w:tr>
      <w:tr>
        <w:trPr/>
        <w:tc>
          <w:tcPr>
            <w:tcW w:w="1800" w:type="dxa"/>
            <w:noWrap/>
          </w:tcPr>
          <w:p>
            <w:pPr>
              <w:jc w:val="center"/>
              <w:spacing w:line="240" w:lineRule="auto"/>
            </w:pPr>
            <w:r>
              <w:rPr/>
              <w:t xml:space="preserve">專業類別</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25</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總時數</w:t>
            </w:r>
          </w:p>
        </w:tc>
      </w:tr>
      <w:tr>
        <w:trPr/>
        <w:tc>
          <w:tcPr>
            <w:tcW w:w="1800" w:type="dxa"/>
            <w:noWrap/>
          </w:tcPr>
          <w:p>
            <w:pPr>
              <w:jc w:val="center"/>
              <w:spacing w:line="240" w:lineRule="auto"/>
            </w:pPr>
            <w:r>
              <w:rPr/>
              <w:t xml:space="preserve">25</w:t>
            </w:r>
          </w:p>
        </w:tc>
      </w:tr>
    </w:tbl>
    <w:p>
      <w:pPr/>
      <w:r>
        <w:rPr/>
        <w:t xml:space="preserve"/>
      </w:r>
    </w:p>
    <w:p>
      <w:pPr>
        <w:spacing w:line="240" w:lineRule="auto"/>
      </w:pPr>
      <w:r>
        <w:rPr>
          <w:sz w:val="28"/>
          <w:szCs w:val="28"/>
          <w:b w:val="1"/>
          <w:bCs w:val="1"/>
          <w:u w:val="single"/>
        </w:rPr>
        <w:t xml:space="preserve">請各據點(總部/台中廠/MOTTI/東莞廠/昆山/TMA/TME/TMJ/TMU)填寫貴公司2025年員工訓練– 總金額 (NT$)</w:t>
      </w:r>
    </w:p>
    <w:p>
      <w:pPr>
        <w:spacing w:line="240" w:lineRule="auto"/>
      </w:pPr>
      <w:r>
        <w:rPr>
          <w:sz w:val="22"/>
          <w:szCs w:val="22"/>
        </w:rPr>
        <w:t xml:space="preserve">註: 訓練包括： 
• 所有類型的職業培訓和教導 • 組織提供給員工的帶薪教育假 • 由組織全部或部分支付費用進行的外部訓練或教育  • 特定主題的訓練。
2024年培訓計畫類型：
1.專業類別
(含未來人才/轉型能力/特定主題與專案)
2.管理類別
3.通識類別
(溝通能力/公司核心價值)</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培訓計畫類型</w:t>
            </w:r>
          </w:p>
        </w:tc>
        <w:tc>
          <w:tcPr>
            <w:tcW w:w="1800" w:type="dxa"/>
            <w:noWrap/>
          </w:tcPr>
          <w:p>
            <w:pPr>
              <w:jc w:val="center"/>
              <w:spacing w:line="240" w:lineRule="auto"/>
            </w:pPr>
            <w:r>
              <w:rPr>
                <w:sz w:val="24"/>
                <w:szCs w:val="24"/>
                <w:b w:val="1"/>
                <w:bCs w:val="1"/>
              </w:rPr>
              <w:t xml:space="preserve">男性人數</w:t>
            </w:r>
          </w:p>
        </w:tc>
        <w:tc>
          <w:tcPr>
            <w:tcW w:w="1800" w:type="dxa"/>
            <w:noWrap/>
          </w:tcPr>
          <w:p>
            <w:pPr>
              <w:jc w:val="center"/>
              <w:spacing w:line="240" w:lineRule="auto"/>
            </w:pPr>
            <w:r>
              <w:rPr>
                <w:sz w:val="24"/>
                <w:szCs w:val="24"/>
                <w:b w:val="1"/>
                <w:bCs w:val="1"/>
              </w:rPr>
              <w:t xml:space="preserve">女性人數</w:t>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男性(金額)</w:t>
            </w:r>
          </w:p>
        </w:tc>
        <w:tc>
          <w:tcPr>
            <w:tcW w:w="1800" w:type="dxa"/>
            <w:noWrap/>
          </w:tcPr>
          <w:p>
            <w:pPr>
              <w:jc w:val="center"/>
              <w:spacing w:line="240" w:lineRule="auto"/>
            </w:pPr>
            <w:r>
              <w:rPr>
                <w:sz w:val="24"/>
                <w:szCs w:val="24"/>
                <w:b w:val="1"/>
                <w:bCs w:val="1"/>
              </w:rPr>
              <w:t xml:space="preserve">女性(金額)</w:t>
            </w:r>
          </w:p>
        </w:tc>
      </w:tr>
      <w:tr>
        <w:trPr/>
        <w:tc>
          <w:tcPr>
            <w:tcW w:w="1800" w:type="dxa"/>
            <w:noWrap/>
          </w:tcPr>
          <w:p>
            <w:pPr>
              <w:jc w:val="center"/>
              <w:spacing w:line="240" w:lineRule="auto"/>
            </w:pPr>
            <w:r>
              <w:rPr/>
              <w:t xml:space="preserve">專業類別</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9864</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總金額</w:t>
            </w:r>
          </w:p>
        </w:tc>
      </w:tr>
      <w:tr>
        <w:trPr/>
        <w:tc>
          <w:tcPr>
            <w:tcW w:w="1800" w:type="dxa"/>
            <w:noWrap/>
          </w:tcPr>
          <w:p>
            <w:pPr>
              <w:jc w:val="center"/>
              <w:spacing w:line="240" w:lineRule="auto"/>
            </w:pPr>
            <w:r>
              <w:rPr/>
              <w:t xml:space="preserve">9864</w:t>
            </w:r>
          </w:p>
        </w:tc>
      </w:tr>
    </w:tbl>
    <w:p>
      <w:pPr/>
      <w:r>
        <w:rPr/>
        <w:t xml:space="preserve"/>
      </w:r>
    </w:p>
    <w:p>
      <w:pPr>
        <w:spacing w:line="240" w:lineRule="auto"/>
      </w:pPr>
      <w:r>
        <w:rPr>
          <w:sz w:val="28"/>
          <w:szCs w:val="28"/>
          <w:b w:val="1"/>
          <w:bCs w:val="1"/>
          <w:u w:val="single"/>
        </w:rPr>
        <w:t xml:space="preserve">教育訓練 (GRI 404) 請描述提升員工職能實施之過渡協助方案的類型與範疇。</w:t>
      </w:r>
    </w:p>
    <w:p>
      <w:pPr>
        <w:spacing w:line="240" w:lineRule="auto"/>
      </w:pPr>
      <w:r>
        <w:rPr>
          <w:sz w:val="22"/>
          <w:szCs w:val="22"/>
        </w:rPr>
        <w:t xml:space="preserve">提升員工職能的訓練計畫得包括： • 內部訓練課程； • 資助外部訓練或教育； • 訓練期後，保證能重返工作崗位之規定</w:t>
      </w:r>
    </w:p>
    <w:p>
      <w:pPr>
        <w:spacing w:line="240" w:lineRule="auto"/>
      </w:pPr>
      <w:r>
        <w:rPr/>
        <w:t xml:space="preserve">答案：提升員工職能的訓練計畫得包括： • 內部訓練課程； • 資助外部訓練或教育； • 訓練期後，保證能重返工作崗位之規定</w:t>
      </w:r>
    </w:p>
    <w:p>
      <w:pPr/>
      <w:r>
        <w:rPr/>
        <w:t xml:space="preserve"/>
      </w:r>
    </w:p>
    <w:p>
      <w:pPr>
        <w:spacing w:line="240" w:lineRule="auto"/>
      </w:pPr>
      <w:r>
        <w:rPr>
          <w:sz w:val="28"/>
          <w:szCs w:val="28"/>
          <w:b w:val="1"/>
          <w:bCs w:val="1"/>
          <w:u w:val="single"/>
        </w:rPr>
        <w:t xml:space="preserve">教育訓練 (GRI404) 請描述具體提供退休或終止勞雇關係之員工促進繼續就業能力與生涯畫之過度協助方案。</w:t>
      </w:r>
    </w:p>
    <w:p>
      <w:pPr>
        <w:spacing w:line="240" w:lineRule="auto"/>
      </w:pPr>
      <w:r>
        <w:rPr>
          <w:sz w:val="22"/>
          <w:szCs w:val="22"/>
        </w:rPr>
        <w:t xml:space="preserve">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spacing w:line="240" w:lineRule="auto"/>
      </w:pPr>
      <w:r>
        <w:rPr/>
        <w:t xml:space="preserve">答案：支持退休或終止勞雇關係的員工的過渡協助方案 可以包括： • 有意退休人員的退休前計畫； • 有意繼續工作員工的再訓練計劃； • 資遣費，可考慮計算員工年齡與服務年限； • 就業服務； • 協助員工（如訓練、諮詢等方式）過渡到無工 作的生活狀態。</w:t>
      </w:r>
    </w:p>
    <w:p>
      <w:pPr/>
      <w:r>
        <w:rPr/>
        <w:t xml:space="preserve"/>
      </w:r>
    </w:p>
    <w:p>
      <w:pPr>
        <w:spacing w:line="240" w:lineRule="auto"/>
      </w:pPr>
      <w:r>
        <w:rPr>
          <w:sz w:val="28"/>
          <w:szCs w:val="28"/>
          <w:b w:val="1"/>
          <w:bCs w:val="1"/>
          <w:u w:val="single"/>
        </w:rPr>
        <w:t xml:space="preserve">請各據點(總部/台中廠/MOTTI/東莞廠/昆山/TMA/TME/TMJ/TMU)按員工性別和員工類別，接受【定期績效及職涯發展檢核】佔【總員工】的百分比。</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接受【定期績效及職涯發展檢核】佔【總員工】的百分比</w:t>
            </w:r>
          </w:p>
        </w:tc>
      </w:tr>
      <w:tr>
        <w:trPr/>
        <w:tc>
          <w:tcPr>
            <w:tcW w:w="1800" w:type="dxa"/>
            <w:noWrap/>
          </w:tcPr>
          <w:p>
            <w:pPr>
              <w:jc w:val="center"/>
              <w:spacing w:line="240" w:lineRule="auto"/>
            </w:pPr>
            <w:r>
              <w:rPr>
                <w:sz w:val="24"/>
                <w:szCs w:val="24"/>
                <w:b w:val="1"/>
                <w:bCs w:val="1"/>
              </w:rPr>
              <w:t xml:space="preserve">男</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女</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一般員工</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初階主管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中階主管</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高階主管</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 請問貴公司是否有做員工訓練滿意度調查？調查結果及後續改善做法為何？</w:t>
      </w:r>
    </w:p>
    <w:p>
      <w:pPr/>
      <w:r>
        <w:rPr/>
        <w:t xml:space="preserve"/>
      </w:r>
    </w:p>
    <w:p>
      <w:pPr>
        <w:spacing w:line="240" w:lineRule="auto"/>
      </w:pPr>
      <w:r>
        <w:rPr>
          <w:sz w:val="28"/>
          <w:szCs w:val="28"/>
          <w:b w:val="1"/>
          <w:bCs w:val="1"/>
          <w:u w:val="single"/>
        </w:rPr>
        <w:t xml:space="preserve">新進人員訓練: 請說明貴公司的新進人員訓練制度</w:t>
      </w:r>
    </w:p>
    <w:p>
      <w:pPr>
        <w:spacing w:line="240" w:lineRule="auto"/>
      </w:pPr>
      <w:r>
        <w:rPr/>
        <w:t xml:space="preserve">答案：每一位新人進來都會需要完成主管設定的新人入職訓練檢核表, 學習該職務需要學習的技能</w:t>
      </w:r>
    </w:p>
    <w:p>
      <w:pPr/>
      <w:r>
        <w:rPr/>
        <w:t xml:space="preserve"/>
      </w:r>
    </w:p>
    <w:p>
      <w:pPr>
        <w:spacing w:line="240" w:lineRule="auto"/>
      </w:pPr>
      <w:r>
        <w:rPr>
          <w:sz w:val="28"/>
          <w:szCs w:val="28"/>
          <w:b w:val="1"/>
          <w:bCs w:val="1"/>
          <w:u w:val="single"/>
        </w:rPr>
        <w:t xml:space="preserve">請描述貴公司定期績效考核制度和職涯發展規劃 (GRI 404-3)</w:t>
      </w:r>
    </w:p>
    <w:p>
      <w:pPr>
        <w:spacing w:line="240" w:lineRule="auto"/>
      </w:pPr>
      <w:r>
        <w:rPr>
          <w:sz w:val="22"/>
          <w:szCs w:val="22"/>
        </w:rPr>
        <w:t xml:space="preserve">2024報告書
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【台灣】
2024年總部與台中廠員工除13位任職未滿3個月與部分工時員工未受績效評核作業外，其餘181位員工均參與績效評核作業 (女性85人、男性96人)，接受考核之男、女性員工比例均為100%。
【東莞】
2024年東莞廠員工除17位任職未滿3個月與部分工時員工未受績效評核作業外，其餘422位員工均參與績效評核作業 (女性167人、男性255人)，接受考核之男、女性員工比例均為100%。
</w:t>
      </w:r>
    </w:p>
    <w:p>
      <w:pPr>
        <w:spacing w:line="240" w:lineRule="auto"/>
      </w:pPr>
      <w:r>
        <w:rPr/>
        <w:t xml:space="preserve">答案：績效考核
(GRI 404-3)
提升個人及組織整體績效為第一傳動績效管理與發展系統的目的。本公司落實雙向溝通與員工發展規劃，以公平合理之績效評核程式進行評核。全數在職同仁經由年度目標管理制度，每半年檢視一次工作執行狀況，並每年檢討過去個人目標及工作執行成果，展望未來工作任務方向，訂出員工職能訓練發展之需要，找出有發展潛力之員工，作為職級晉升、薪資調整，獎金發放及員工發展、訓練需求等作業之依據。
績效考核之作法與流程
本公司「目標管理與績效考核」作業透過「期初目標設定」、「期中目標檢視」及「期末績效評核」等三大循環達到「區辨人才、發展人才」的目的。
本公司所有間接人員員工均可接受績效考核，除任職未滿3個月之同仁及部分工時同仁外，其餘員工均依規定辦理。績效評核分為上下年度共兩次，上半年員工線上填寫個人KPI後，由主管進行員工績效面談，檢視上半年工作目標達成進度並重新確認下半年度工作目標；下半年度員工填寫個人年度績效考核後，由主管進行員工績效面談，檢視當年度績效表現，並設定下一年度的工作目標。
</w:t>
      </w:r>
    </w:p>
    <w:p>
      <w:pPr/>
      <w:r>
        <w:rPr/>
        <w:t xml:space="preserve"/>
      </w:r>
    </w:p>
    <w:p>
      <w:pPr>
        <w:spacing w:line="240" w:lineRule="auto"/>
      </w:pPr>
      <w:r>
        <w:rPr>
          <w:sz w:val="28"/>
          <w:szCs w:val="28"/>
          <w:b w:val="1"/>
          <w:bCs w:val="1"/>
          <w:u w:val="single"/>
        </w:rPr>
        <w:t xml:space="preserve">請提供績效考核的內容</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2026-02-26T10:49:57+08:00</dcterms:created>
  <dcterms:modified xsi:type="dcterms:W3CDTF">2026-02-26T10:49:57+08:00</dcterms:modified>
</cp:coreProperties>
</file>

<file path=docProps/custom.xml><?xml version="1.0" encoding="utf-8"?>
<Properties xmlns="http://schemas.openxmlformats.org/officeDocument/2006/custom-properties" xmlns:vt="http://schemas.openxmlformats.org/officeDocument/2006/docPropsVTypes"/>
</file>