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TM-OHS-TMT-V1</w:t>
      </w: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6.4.0 重大主題管理方針</w:t>
      </w:r>
    </w:p>
    <w:p>
      <w:pPr/>
      <w:r>
        <w:rPr/>
        <w:t xml:space="preserve"/>
      </w:r>
    </w:p>
    <w:p>
      <w:pPr>
        <w:spacing w:line="240" w:lineRule="auto"/>
      </w:pPr>
      <w:r>
        <w:rPr>
          <w:sz w:val="28"/>
          <w:szCs w:val="28"/>
          <w:b w:val="1"/>
          <w:bCs w:val="1"/>
          <w:u w:val="single"/>
        </w:rPr>
        <w:t xml:space="preserve">【重大主題管理方針】請說明公司營運活動會造成/或潛在可能造成的衝擊 (GRI 2-23、GRI 2-24)
(請參考備註欄提供的2024年報告書的內容，請確認是否需要修改？如需修改請一併填答)</w:t>
      </w:r>
    </w:p>
    <w:p>
      <w:pPr>
        <w:spacing w:line="240" w:lineRule="auto"/>
      </w:pPr>
      <w:r>
        <w:rPr>
          <w:sz w:val="22"/>
          <w:szCs w:val="22"/>
        </w:rPr>
        <w:t xml:space="preserve">正向(實際)衝擊：公司重視並持續改善員工作業環境、強化風險辨識與安全訓練，有助於降低工安事故、提升員工信任感與組織向心力，進而強化生產效率與企業形象
負向(實際與潛在)衝擊：若未落實風險辨識與防災管理，將可能導致職災發生、員工受傷或生產中斷，對企業營運與聲譽造成衝擊
</w:t>
      </w:r>
    </w:p>
    <w:p>
      <w:pPr>
        <w:spacing w:line="240" w:lineRule="auto"/>
      </w:pPr>
      <w:r>
        <w:rPr/>
        <w:t xml:space="preserve">答案：正向(實際)衝擊：公司重視並持續改善員工作業環境、強化風險辨識與安全訓練，有助於降低工安事故、提升員工信任感與組織向心力，進而強化生產效率與企業形象
負向(實際與潛在)衝擊：若未落實風險辨識與防災管理，將可能導致職災發生、員工受傷或生產中斷，對企業營運與聲譽造成衝擊
</w:t>
      </w:r>
    </w:p>
    <w:p>
      <w:pPr/>
      <w:r>
        <w:rPr/>
        <w:t xml:space="preserve"/>
      </w:r>
    </w:p>
    <w:p>
      <w:pPr>
        <w:spacing w:line="240" w:lineRule="auto"/>
      </w:pPr>
      <w:r>
        <w:rPr>
          <w:sz w:val="28"/>
          <w:szCs w:val="28"/>
          <w:b w:val="1"/>
          <w:bCs w:val="1"/>
          <w:u w:val="single"/>
        </w:rPr>
        <w:t xml:space="preserve">【重大主題管理方針】管理政策：
請說明貴公司內部有哪些相關的政策或準則等，以利同仁依循與推行? 外部法規要求為何?(GRI 2-23、GRI 2-24)
(請參考備註欄提供的2024年報告書的內容，請確認是否需要修改)</w:t>
      </w:r>
    </w:p>
    <w:p>
      <w:pPr>
        <w:spacing w:line="240" w:lineRule="auto"/>
      </w:pPr>
      <w:r>
        <w:rPr>
          <w:sz w:val="22"/>
          <w:szCs w:val="22"/>
        </w:rPr>
        <w:t xml:space="preserve">2024報告書：
1.第一傳動制定作業環境監測管理規範、職業安全衛生管理程序、職業安全衛生工作守則
2.東莞堤摩訊已建立基本的職業安全衛生制度並執行 ，如環安委員會管理規範、工安事故管理規範、工傷(職災)管理規範、入職體檢及定期員工體檢、廚房人員定期健康體檢、化學品管理規範、緊急應變管理規範等文件
</w:t>
      </w:r>
    </w:p>
    <w:p>
      <w:pPr>
        <w:spacing w:line="240" w:lineRule="auto"/>
      </w:pPr>
      <w:r>
        <w:rPr/>
        <w:t xml:space="preserve">答案：東莞堤摩訊已建立基本的職業安全衛生制度並執行 ，如環安委員會管理規範、工安事故管理規範、工傷(職災)管理規範、入職體檢及定期員工體檢、廚房人員定期健康體檢、化學品管理規範、緊急應變管理規範等文件。</w:t>
      </w:r>
    </w:p>
    <w:p>
      <w:pPr/>
      <w:r>
        <w:rPr/>
        <w:t xml:space="preserve"/>
      </w:r>
    </w:p>
    <w:p>
      <w:pPr>
        <w:spacing w:line="240" w:lineRule="auto"/>
      </w:pPr>
      <w:r>
        <w:rPr>
          <w:sz w:val="28"/>
          <w:szCs w:val="28"/>
          <w:b w:val="1"/>
          <w:bCs w:val="1"/>
          <w:u w:val="single"/>
        </w:rPr>
        <w:t xml:space="preserve">【重大主題管理方針】請問貴公司在職業安全衛生的承諾為何? (GRI 2-23、GRI 2-24)
(請參考備註欄提供的2024年報告書的內容，請確認是否需要修改)</w:t>
      </w:r>
    </w:p>
    <w:p>
      <w:pPr>
        <w:spacing w:line="240" w:lineRule="auto"/>
      </w:pPr>
      <w:r>
        <w:rPr>
          <w:sz w:val="22"/>
          <w:szCs w:val="22"/>
        </w:rPr>
        <w:t xml:space="preserve">2024報告書內容：
1.承諾持續提供安全的工作環境與健康保護機制，確保每位同仁都能在無後顧之憂的環境中工作與成長。透過職業安全衛生政策，落實作業安全與健康促進，並結合永續管理目標推動企業責任。
2.設立完整回報與調查機制，針對潛在風險及職災事件進行即時分析與改善。
3.每年實施環安衛訓練與演練，確保員工具備自我保護與緊急應變能力。
</w:t>
      </w:r>
    </w:p>
    <w:p>
      <w:pPr>
        <w:spacing w:line="240" w:lineRule="auto"/>
      </w:pPr>
      <w:r>
        <w:rPr/>
        <w:t xml:space="preserve">答案：1	承諾持續提供安全的工作環境與健康保護機制，確保每位同仁都能在無後顧之憂的環境中工作與成長。透過職業安全衛生政策，落實作業安全與健康促進，並結合永續管理目標推動企業責任。
2	設立完整回報與調查機制，針對潛在風險及職災事件進行即時分析與改善。
3	每年實施環安衛訓練與演練，確保員工具備自我保護與緊急應變能力。
</w:t>
      </w:r>
    </w:p>
    <w:p>
      <w:pPr/>
      <w:r>
        <w:rPr/>
        <w:t xml:space="preserve"/>
      </w:r>
    </w:p>
    <w:p>
      <w:pPr>
        <w:spacing w:line="240" w:lineRule="auto"/>
      </w:pPr>
      <w:r>
        <w:rPr>
          <w:sz w:val="28"/>
          <w:szCs w:val="28"/>
          <w:b w:val="1"/>
          <w:bCs w:val="1"/>
          <w:u w:val="single"/>
        </w:rPr>
        <w:t xml:space="preserve">【重大主題管理方針】請說明負責管理此議題的單位、聯繫窗口(GRI 2-23、GRI 2-24)
(請參考備註欄提供的2024年報告書的內容，請確認是否需要修改)</w:t>
      </w:r>
    </w:p>
    <w:p>
      <w:pPr>
        <w:spacing w:line="240" w:lineRule="auto"/>
      </w:pPr>
      <w:r>
        <w:rPr>
          <w:sz w:val="22"/>
          <w:szCs w:val="22"/>
        </w:rPr>
        <w:t xml:space="preserve">2024報告書內容：
生產單位、環安單位</w:t>
      </w:r>
    </w:p>
    <w:p>
      <w:pPr>
        <w:spacing w:line="240" w:lineRule="auto"/>
      </w:pPr>
      <w:r>
        <w:rPr/>
        <w:t xml:space="preserve">答案：生產單位、環安單位</w:t>
      </w:r>
    </w:p>
    <w:p>
      <w:pPr/>
      <w:r>
        <w:rPr/>
        <w:t xml:space="preserve"/>
      </w:r>
    </w:p>
    <w:p>
      <w:pPr>
        <w:spacing w:line="240" w:lineRule="auto"/>
      </w:pPr>
      <w:r>
        <w:rPr>
          <w:sz w:val="28"/>
          <w:szCs w:val="28"/>
          <w:b w:val="1"/>
          <w:bCs w:val="1"/>
          <w:u w:val="single"/>
        </w:rPr>
        <w:t xml:space="preserve">【重大主題管理方針】確保行動有效作法：請說明職業安全衛生之管理流程、會議頻率、評估機制 (GRI 2-23、GRI 2-24)
(請參考備註欄提供的2024年報告書的內容，確認是否需要修改)</w:t>
      </w:r>
    </w:p>
    <w:p>
      <w:pPr>
        <w:spacing w:line="240" w:lineRule="auto"/>
      </w:pPr>
      <w:r>
        <w:rPr>
          <w:sz w:val="22"/>
          <w:szCs w:val="22"/>
        </w:rPr>
        <w:t xml:space="preserve">2024報告書：
東莞廠已經建立基本的職業安全衛生制度，並設置內部稽核機制，進行安全生產、食品安全、飲水管理、工傷事項管理(詳細資訊請見章節內文)</w:t>
      </w:r>
    </w:p>
    <w:p>
      <w:pPr>
        <w:spacing w:line="240" w:lineRule="auto"/>
      </w:pPr>
      <w:r>
        <w:rPr/>
        <w:t xml:space="preserve">答案：東莞廠已經建立基本的職業安全衛生制度，並設置內部稽核機制，進行安全生產、食品安全、飲水管理、工傷事項管理(詳細資訊請見章節內文)</w:t>
      </w:r>
    </w:p>
    <w:p>
      <w:pPr/>
      <w:r>
        <w:rPr/>
        <w:t xml:space="preserve"/>
      </w:r>
    </w:p>
    <w:p>
      <w:pPr>
        <w:spacing w:line="240" w:lineRule="auto"/>
      </w:pPr>
      <w:r>
        <w:rPr>
          <w:sz w:val="28"/>
          <w:szCs w:val="28"/>
          <w:b w:val="1"/>
          <w:bCs w:val="1"/>
          <w:u w:val="single"/>
        </w:rPr>
        <w:t xml:space="preserve">【重大主題管理方針】請問貴公司在職業安全衛生的指標以及具體的短中長期目標 (GRI 2-23、GRI 2-24)</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短期(2026)目標</w:t>
            </w:r>
          </w:p>
        </w:tc>
        <w:tc>
          <w:tcPr>
            <w:tcW w:w="1800" w:type="dxa"/>
            <w:noWrap/>
          </w:tcPr>
          <w:p>
            <w:pPr>
              <w:jc w:val="center"/>
              <w:spacing w:line="240" w:lineRule="auto"/>
            </w:pPr>
            <w:r>
              <w:rPr>
                <w:sz w:val="24"/>
                <w:szCs w:val="24"/>
                <w:b w:val="1"/>
                <w:bCs w:val="1"/>
              </w:rPr>
              <w:t xml:space="preserve">中期(2030)目標</w:t>
            </w:r>
          </w:p>
        </w:tc>
      </w:tr>
      <w:tr>
        <w:trPr/>
        <w:tc>
          <w:tcPr>
            <w:tcW w:w="1800" w:type="dxa"/>
            <w:noWrap/>
          </w:tcPr>
          <w:p>
            <w:pPr>
              <w:jc w:val="center"/>
              <w:spacing w:line="240" w:lineRule="auto"/>
            </w:pPr>
            <w:r>
              <w:rPr>
                <w:sz w:val="24"/>
                <w:szCs w:val="24"/>
                <w:b w:val="1"/>
                <w:bCs w:val="1"/>
              </w:rPr>
              <w:t xml:space="preserve">召開OO次職業安全衛生委員會會議</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4</w:t>
            </w:r>
          </w:p>
        </w:tc>
      </w:tr>
      <w:tr>
        <w:trPr/>
        <w:tc>
          <w:tcPr>
            <w:tcW w:w="1800" w:type="dxa"/>
            <w:noWrap/>
          </w:tcPr>
          <w:p>
            <w:pPr>
              <w:jc w:val="center"/>
              <w:spacing w:line="240" w:lineRule="auto"/>
            </w:pPr>
            <w:r>
              <w:rPr>
                <w:sz w:val="24"/>
                <w:szCs w:val="24"/>
                <w:b w:val="1"/>
                <w:bCs w:val="1"/>
              </w:rPr>
              <w:t xml:space="preserve">共OO人次參與職業安全衛生教育訓練</w:t>
            </w:r>
          </w:p>
        </w:tc>
        <w:tc>
          <w:tcPr>
            <w:tcW w:w="1800" w:type="dxa"/>
            <w:noWrap/>
          </w:tcPr>
          <w:p>
            <w:pPr>
              <w:jc w:val="center"/>
              <w:spacing w:line="240" w:lineRule="auto"/>
            </w:pPr>
            <w:r>
              <w:rPr/>
              <w:t xml:space="preserve">2260</w:t>
            </w:r>
          </w:p>
        </w:tc>
        <w:tc>
          <w:tcPr>
            <w:tcW w:w="1800" w:type="dxa"/>
            <w:noWrap/>
          </w:tcPr>
          <w:p>
            <w:pPr>
              <w:jc w:val="center"/>
              <w:spacing w:line="240" w:lineRule="auto"/>
            </w:pPr>
            <w:r>
              <w:rPr/>
              <w:t xml:space="preserve">2260</w:t>
            </w:r>
          </w:p>
        </w:tc>
      </w:tr>
      <w:tr>
        <w:trPr/>
        <w:tc>
          <w:tcPr>
            <w:tcW w:w="1800" w:type="dxa"/>
            <w:noWrap/>
          </w:tcPr>
          <w:p>
            <w:pPr>
              <w:jc w:val="center"/>
              <w:spacing w:line="240" w:lineRule="auto"/>
            </w:pPr>
            <w:r>
              <w:rPr>
                <w:sz w:val="24"/>
                <w:szCs w:val="24"/>
                <w:b w:val="1"/>
                <w:bCs w:val="1"/>
              </w:rPr>
              <w:t xml:space="preserve">工傷率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共舉辦OO次緊急應變演練</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4</w:t>
            </w:r>
          </w:p>
        </w:tc>
      </w:tr>
      <w:tr>
        <w:trPr/>
        <w:tc>
          <w:tcPr>
            <w:tcW w:w="1800" w:type="dxa"/>
            <w:noWrap/>
          </w:tcPr>
          <w:p>
            <w:pPr>
              <w:jc w:val="center"/>
              <w:spacing w:line="240" w:lineRule="auto"/>
            </w:pPr>
            <w:r>
              <w:rPr>
                <w:sz w:val="24"/>
                <w:szCs w:val="24"/>
                <w:b w:val="1"/>
                <w:bCs w:val="1"/>
              </w:rPr>
              <w:t xml:space="preserve">共OOO人次參與職場健康促進活動</w:t>
            </w:r>
          </w:p>
        </w:tc>
        <w:tc>
          <w:tcPr>
            <w:tcW w:w="1800" w:type="dxa"/>
            <w:noWrap/>
          </w:tcPr>
          <w:p>
            <w:pPr>
              <w:jc w:val="center"/>
              <w:spacing w:line="240" w:lineRule="auto"/>
            </w:pPr>
            <w:r>
              <w:rPr/>
              <w:t xml:space="preserve">1700</w:t>
            </w:r>
          </w:p>
        </w:tc>
        <w:tc>
          <w:tcPr>
            <w:tcW w:w="1800" w:type="dxa"/>
            <w:noWrap/>
          </w:tcPr>
          <w:p>
            <w:pPr>
              <w:jc w:val="center"/>
              <w:spacing w:line="240" w:lineRule="auto"/>
            </w:pPr>
            <w:r>
              <w:rPr/>
              <w:t xml:space="preserve">1700</w:t>
            </w:r>
          </w:p>
        </w:tc>
      </w:tr>
    </w:tbl>
    <w:p>
      <w:pPr/>
      <w:r>
        <w:rPr/>
        <w:t xml:space="preserve"/>
      </w:r>
    </w:p>
    <w:p>
      <w:pPr>
        <w:spacing w:line="240" w:lineRule="auto"/>
      </w:pPr>
      <w:r>
        <w:rPr>
          <w:sz w:val="28"/>
          <w:szCs w:val="28"/>
          <w:b w:val="1"/>
          <w:bCs w:val="1"/>
          <w:u w:val="single"/>
        </w:rPr>
        <w:t xml:space="preserve">【重大主題管理方針】2025年執行成效</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目標</w:t>
            </w:r>
          </w:p>
        </w:tc>
        <w:tc>
          <w:tcPr>
            <w:tcW w:w="1800" w:type="dxa"/>
            <w:noWrap/>
          </w:tcPr>
          <w:p>
            <w:pPr>
              <w:jc w:val="center"/>
              <w:spacing w:line="240" w:lineRule="auto"/>
            </w:pPr>
            <w:r>
              <w:rPr>
                <w:sz w:val="24"/>
                <w:szCs w:val="24"/>
                <w:b w:val="1"/>
                <w:bCs w:val="1"/>
              </w:rPr>
              <w:t xml:space="preserve">2025年成果</w:t>
            </w:r>
          </w:p>
        </w:tc>
      </w:tr>
      <w:tr>
        <w:trPr/>
        <w:tc>
          <w:tcPr>
            <w:tcW w:w="1800" w:type="dxa"/>
            <w:noWrap/>
          </w:tcPr>
          <w:p>
            <w:pPr>
              <w:jc w:val="center"/>
              <w:spacing w:line="240" w:lineRule="auto"/>
            </w:pPr>
            <w:r>
              <w:rPr>
                <w:sz w:val="24"/>
                <w:szCs w:val="24"/>
                <w:b w:val="1"/>
                <w:bCs w:val="1"/>
              </w:rPr>
              <w:t xml:space="preserve">召開OO次職業安全衛生委員會會議</w:t>
            </w:r>
          </w:p>
        </w:tc>
        <w:tc>
          <w:tcPr>
            <w:tcW w:w="1800" w:type="dxa"/>
            <w:noWrap/>
          </w:tcPr>
          <w:p>
            <w:pPr>
              <w:jc w:val="center"/>
              <w:spacing w:line="240" w:lineRule="auto"/>
            </w:pPr>
            <w:r>
              <w:rPr/>
              <w:t xml:space="preserve">2025年及長期目標： 以恪遵法規為首要，效益優化為長期目標</w:t>
            </w:r>
          </w:p>
        </w:tc>
        <w:tc>
          <w:tcPr>
            <w:tcW w:w="1800" w:type="dxa"/>
            <w:noWrap/>
          </w:tcPr>
          <w:p>
            <w:pPr>
              <w:jc w:val="center"/>
              <w:spacing w:line="240" w:lineRule="auto"/>
            </w:pPr>
            <w:r>
              <w:rPr/>
              <w:t xml:space="preserve">召開4次職業安全衛生委員會會議</w:t>
            </w:r>
          </w:p>
        </w:tc>
      </w:tr>
      <w:tr>
        <w:trPr/>
        <w:tc>
          <w:tcPr>
            <w:tcW w:w="1800" w:type="dxa"/>
            <w:noWrap/>
          </w:tcPr>
          <w:p>
            <w:pPr>
              <w:jc w:val="center"/>
              <w:spacing w:line="240" w:lineRule="auto"/>
            </w:pPr>
            <w:r>
              <w:rPr>
                <w:sz w:val="24"/>
                <w:szCs w:val="24"/>
                <w:b w:val="1"/>
                <w:bCs w:val="1"/>
              </w:rPr>
              <w:t xml:space="preserve">共OO人次參與職業安全衛生教育訓練</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共1350人次參與職業安全衛生教育訓練（新入職人員安全培訓1204人次，叉車作業安全培訓111人，其他機械安全作業培訓35人）</w:t>
            </w:r>
          </w:p>
        </w:tc>
      </w:tr>
      <w:tr>
        <w:trPr/>
        <w:tc>
          <w:tcPr>
            <w:tcW w:w="1800" w:type="dxa"/>
            <w:noWrap/>
          </w:tcPr>
          <w:p>
            <w:pPr>
              <w:jc w:val="center"/>
              <w:spacing w:line="240" w:lineRule="auto"/>
            </w:pPr>
            <w:r>
              <w:rPr>
                <w:sz w:val="24"/>
                <w:szCs w:val="24"/>
                <w:b w:val="1"/>
                <w:bCs w:val="1"/>
              </w:rPr>
              <w:t xml:space="preserve">工傷率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26.3(TBC)</w:t>
            </w:r>
          </w:p>
        </w:tc>
      </w:tr>
      <w:tr>
        <w:trPr/>
        <w:tc>
          <w:tcPr>
            <w:tcW w:w="1800" w:type="dxa"/>
            <w:noWrap/>
          </w:tcPr>
          <w:p>
            <w:pPr>
              <w:jc w:val="center"/>
              <w:spacing w:line="240" w:lineRule="auto"/>
            </w:pPr>
            <w:r>
              <w:rPr>
                <w:sz w:val="24"/>
                <w:szCs w:val="24"/>
                <w:b w:val="1"/>
                <w:bCs w:val="1"/>
              </w:rPr>
              <w:t xml:space="preserve">共舉辦OO次緊急應變演練</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共舉辦4次緊急應變演練（火災應急演練2次，化學品洩露應急演練1次，廢水處理設施故障應急演練1次）</w:t>
            </w:r>
          </w:p>
        </w:tc>
      </w:tr>
      <w:tr>
        <w:trPr/>
        <w:tc>
          <w:tcPr>
            <w:tcW w:w="1800" w:type="dxa"/>
            <w:noWrap/>
          </w:tcPr>
          <w:p>
            <w:pPr>
              <w:jc w:val="center"/>
              <w:spacing w:line="240" w:lineRule="auto"/>
            </w:pPr>
            <w:r>
              <w:rPr>
                <w:sz w:val="24"/>
                <w:szCs w:val="24"/>
                <w:b w:val="1"/>
                <w:bCs w:val="1"/>
              </w:rPr>
              <w:t xml:space="preserve">共OOO人次參與職場健康促進活動</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共0人次參與職場健康促進活動（未收集到相關活動）</w:t>
            </w:r>
          </w:p>
        </w:tc>
      </w:tr>
    </w:tbl>
    <w:p>
      <w:pPr/>
      <w:r>
        <w:rPr/>
        <w:t xml:space="preserve"/>
      </w:r>
    </w:p>
    <w:p>
      <w:pPr>
        <w:spacing w:line="240" w:lineRule="auto"/>
      </w:pPr>
      <w:r>
        <w:rPr>
          <w:sz w:val="28"/>
          <w:szCs w:val="28"/>
          <w:b w:val="1"/>
          <w:bCs w:val="1"/>
          <w:u w:val="single"/>
        </w:rPr>
        <w:t xml:space="preserve">【重大主題管理方針】與利害關係人溝通
(請依照備註之說明填答)</w:t>
      </w:r>
    </w:p>
    <w:p>
      <w:pPr>
        <w:spacing w:line="240" w:lineRule="auto"/>
      </w:pPr>
      <w:r>
        <w:rPr>
          <w:sz w:val="22"/>
          <w:szCs w:val="22"/>
        </w:rPr>
        <w:t xml:space="preserve">頻率：每月/每季/每年/不定期
方式：如每季召開會議、每年於網站公開XXX數據資訊</w:t>
      </w:r>
    </w:p>
    <w:p>
      <w:pPr>
        <w:spacing w:line="240" w:lineRule="auto"/>
      </w:pPr>
      <w:r>
        <w:rPr/>
        <w:t xml:space="preserve">答案：員工或求職者於就業場所遇有侵害人權之狀況時，透過人力資源單位進行申訴
保密申訴管道：
專用電話：0769-87062055分機838
電子信箱：HR@timotion.com
</w:t>
      </w:r>
    </w:p>
    <w:p>
      <w:pPr/>
      <w:r>
        <w:rPr/>
        <w:t xml:space="preserve"/>
      </w:r>
    </w:p>
    <w:p>
      <w:pPr>
        <w:spacing w:line="240" w:lineRule="auto"/>
      </w:pPr>
      <w:r>
        <w:rPr>
          <w:sz w:val="28"/>
          <w:szCs w:val="28"/>
          <w:b w:val="1"/>
          <w:bCs w:val="1"/>
          <w:u w:val="single"/>
        </w:rPr>
        <w:t xml:space="preserve">請提供佐證資料並上傳到公用區，如：政策承諾(建議有有董事長簽名)；上傳完成請於已上傳勾選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相關資料，如：政策承諾</w:t>
            </w:r>
          </w:p>
        </w:tc>
        <w:tc>
          <w:tcPr>
            <w:tcW w:w="1800" w:type="dxa"/>
            <w:noWrap/>
          </w:tcPr>
          <w:p>
            <w:pPr>
              <w:jc w:val="center"/>
              <w:spacing w:line="240" w:lineRule="auto"/>
            </w:pPr>
            <w:r>
              <w:rPr/>
              <w:t xml:space="preserve">未勾選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6.4.1 職業安全衛生管理系統、危害辨識、風險評估及事故調查 </w:t>
      </w:r>
    </w:p>
    <w:p>
      <w:pPr/>
      <w:r>
        <w:rPr/>
        <w:t xml:space="preserve"/>
      </w:r>
    </w:p>
    <w:p>
      <w:pPr>
        <w:spacing w:line="240" w:lineRule="auto"/>
      </w:pPr>
      <w:r>
        <w:rPr>
          <w:sz w:val="28"/>
          <w:szCs w:val="28"/>
          <w:b w:val="1"/>
          <w:bCs w:val="1"/>
          <w:u w:val="single"/>
        </w:rPr>
        <w:t xml:space="preserve">請填寫取得ISO 45001驗證廠址員工數 (GRI 403-1) (GRI 403-8)</w:t>
      </w:r>
    </w:p>
    <w:p>
      <w:pPr>
        <w:spacing w:line="240" w:lineRule="auto"/>
      </w:pPr>
      <w:r>
        <w:rPr>
          <w:sz w:val="22"/>
          <w:szCs w:val="22"/>
        </w:rPr>
        <w:t xml:space="preserve">註：人數統計為2024年12月仍在職者。</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取得ISO 45001驗證廠址</w:t>
            </w:r>
          </w:p>
        </w:tc>
        <w:tc>
          <w:tcPr>
            <w:tcW w:w="1800" w:type="dxa"/>
            <w:noWrap/>
          </w:tcPr>
          <w:p>
            <w:pPr>
              <w:jc w:val="center"/>
              <w:spacing w:line="240" w:lineRule="auto"/>
            </w:pPr>
            <w:r>
              <w:rPr>
                <w:sz w:val="24"/>
                <w:szCs w:val="24"/>
                <w:b w:val="1"/>
                <w:bCs w:val="1"/>
              </w:rPr>
              <w:t xml:space="preserve">取得ISO 45001驗證-員工人數</w:t>
            </w:r>
          </w:p>
        </w:tc>
        <w:tc>
          <w:tcPr>
            <w:tcW w:w="1800" w:type="dxa"/>
            <w:noWrap/>
          </w:tcPr>
          <w:p>
            <w:pPr>
              <w:jc w:val="center"/>
              <w:spacing w:line="240" w:lineRule="auto"/>
            </w:pPr>
            <w:r>
              <w:rPr>
                <w:sz w:val="24"/>
                <w:szCs w:val="24"/>
                <w:b w:val="1"/>
                <w:bCs w:val="1"/>
              </w:rPr>
              <w:t xml:space="preserve">取得ISO 45001驗證-非員工人數</w:t>
            </w:r>
          </w:p>
        </w:tc>
      </w:tr>
      <w:tr>
        <w:trPr/>
        <w:tc>
          <w:tcPr>
            <w:tcW w:w="1800" w:type="dxa"/>
            <w:noWrap/>
          </w:tcPr>
          <w:p>
            <w:pPr>
              <w:jc w:val="center"/>
              <w:spacing w:line="240" w:lineRule="auto"/>
            </w:pPr>
            <w:r>
              <w:rPr/>
              <w:t xml:space="preserve">東莞廠--無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請填寫未取得ISO 45001驗證廠址員工數 (GRI 403-1) (GRI 403-8)</w:t>
      </w:r>
    </w:p>
    <w:p>
      <w:pPr>
        <w:spacing w:line="240" w:lineRule="auto"/>
      </w:pPr>
      <w:r>
        <w:rPr>
          <w:sz w:val="22"/>
          <w:szCs w:val="22"/>
        </w:rPr>
        <w:t xml:space="preserve">註：
1.人數統計為2024年12月仍在職者。
2.非員工指長期駐點服務廠商人員，其出勤比照員工。</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未取得ISO 45001驗證廠址</w:t>
            </w:r>
          </w:p>
        </w:tc>
        <w:tc>
          <w:tcPr>
            <w:tcW w:w="1800" w:type="dxa"/>
            <w:noWrap/>
          </w:tcPr>
          <w:p>
            <w:pPr>
              <w:jc w:val="center"/>
              <w:spacing w:line="240" w:lineRule="auto"/>
            </w:pPr>
            <w:r>
              <w:rPr>
                <w:sz w:val="24"/>
                <w:szCs w:val="24"/>
                <w:b w:val="1"/>
                <w:bCs w:val="1"/>
              </w:rPr>
              <w:t xml:space="preserve">未取得ISO 45001驗證-員工人數</w:t>
            </w:r>
          </w:p>
        </w:tc>
        <w:tc>
          <w:tcPr>
            <w:tcW w:w="1800" w:type="dxa"/>
            <w:noWrap/>
          </w:tcPr>
          <w:p>
            <w:pPr>
              <w:jc w:val="center"/>
              <w:spacing w:line="240" w:lineRule="auto"/>
            </w:pPr>
            <w:r>
              <w:rPr>
                <w:sz w:val="24"/>
                <w:szCs w:val="24"/>
                <w:b w:val="1"/>
                <w:bCs w:val="1"/>
              </w:rPr>
              <w:t xml:space="preserve">未取得ISO 45001驗證-非員工人數</w:t>
            </w:r>
          </w:p>
        </w:tc>
      </w:tr>
      <w:tr>
        <w:trPr/>
        <w:tc>
          <w:tcPr>
            <w:tcW w:w="1800" w:type="dxa"/>
            <w:noWrap/>
          </w:tcPr>
          <w:p>
            <w:pPr>
              <w:jc w:val="center"/>
              <w:spacing w:line="240" w:lineRule="auto"/>
            </w:pPr>
            <w:r>
              <w:rPr/>
              <w:t xml:space="preserve">東莞廠未取得ISO 45001</w:t>
            </w:r>
          </w:p>
        </w:tc>
        <w:tc>
          <w:tcPr>
            <w:tcW w:w="1800" w:type="dxa"/>
            <w:noWrap/>
          </w:tcPr>
          <w:p>
            <w:pPr>
              <w:jc w:val="center"/>
              <w:spacing w:line="240" w:lineRule="auto"/>
            </w:pPr>
            <w:r>
              <w:rPr/>
              <w:t xml:space="preserve">1975</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請說明是否已實施職業安全衛生管理系統？描述此職業安全衛生管理系統所涵蓋之工作者、活動及工作場所的範圍 (GRI 403-1) (GRI 403-8)
(請參考備註欄提供的2024年報告書的內容，請確認是否需要修改)</w:t>
      </w:r>
    </w:p>
    <w:p>
      <w:pPr>
        <w:spacing w:line="240" w:lineRule="auto"/>
      </w:pPr>
      <w:r>
        <w:rPr>
          <w:sz w:val="22"/>
          <w:szCs w:val="22"/>
        </w:rPr>
        <w:t xml:space="preserve">2024年報告書內容：
第一傳動台中廠現行制定每年度安全衛生檢查計畫，透過機械與設備安全衛生檢查，包含車輛、堆高機、工業用機器人、高低壓電器設備、乾燥設備、升降機、消防設備等設施，並要求生產單位在每周作業前須檢查安全防護具。總部規劃於2025年成立職業安全委員會及環安室，未來將逐步完善職業安全衛生管理機制。
東莞堤摩訊已建立由高層管理及各部主要長官組成的環安委員會，所有安全衛生事務由環安委員會及各部長官統籌，逐級往下推進落實執行，並指定環安專員負責職業安全衛生日常事務的監督管理。目前尚無召開獨立的環安會議，透過公司的月會向高層和各單位主管報告與討論職安管理成果與事件。
</w:t>
      </w:r>
    </w:p>
    <w:p>
      <w:pPr>
        <w:spacing w:line="240" w:lineRule="auto"/>
      </w:pPr>
      <w:r>
        <w:rPr/>
        <w:t xml:space="preserve">答案：東莞堤摩訊已建立由高層管理及各部主要長官組成的環安委員會，所有安全衛生事務由環安委員會及各部長官統籌，逐級往下推進落實執行，並指定環安專員負責職業安全衛生日常事務的監督管理。目前，每季度一次環安會議，討論職業安全衛生改善機會，或作職安衛管理規範的宣導。同時，透過公司的月會，定期向高層和各單位主管報告職安管理成果與事件。</w:t>
      </w:r>
    </w:p>
    <w:p>
      <w:pPr/>
      <w:r>
        <w:rPr/>
        <w:t xml:space="preserve"/>
      </w:r>
    </w:p>
    <w:p>
      <w:pPr>
        <w:spacing w:line="240" w:lineRule="auto"/>
      </w:pPr>
      <w:r>
        <w:rPr>
          <w:sz w:val="28"/>
          <w:szCs w:val="28"/>
          <w:b w:val="1"/>
          <w:bCs w:val="1"/>
          <w:u w:val="single"/>
        </w:rPr>
        <w:t xml:space="preserve">請問貴公司如何進行職安風險管理、危害辨識? 並說明風險的分級依據、定義(GRI 403-2) 
(請參考備註欄提供的2024年報告書的內容，請確認是否需要修改)</w:t>
      </w:r>
    </w:p>
    <w:p>
      <w:pPr>
        <w:spacing w:line="240" w:lineRule="auto"/>
      </w:pPr>
      <w:r>
        <w:rPr>
          <w:sz w:val="22"/>
          <w:szCs w:val="22"/>
        </w:rPr>
        <w:t xml:space="preserve">2024報告書內容：為辨識、評估與控制工作環境及作業危害，台中廠與東莞廠未來配合本公司內控制度，建立「危害鑑別風險評估管理規範」及填寫「危害鑑別與風險評估登錄表」，以符合內部控制作業程序。
本公司已編製《緊急應變管理規範》，針對緊急情況規定對應的安全應急措施。對應重要的設備、機器，已制定安全作業指引，操作員作業前須進行崗位培訓考核合格方能上崗。如設備、機器故障或安全功能受損，員工應停止作業並上報維修。
事故發生後，發生單位須填寫《工安事故申報表》，簡述事故經過，向公司報告。發生單位需召集相關部門，進行事故原因分析，並針對事故根源制定臨時應急措施及長期改善方案。最後由環安專員追蹤改善方案進度。
範例：公司通過ISO 45001驗證之場址，依ISO 45001之6.1處理風險與機會之措施，建立危害鑑別、風險與機會評估管制程序，並由各單位全體工作者參與單位內作業活動危害鑑別與風險評估，上述工作者均完成職前訓練、在職訓練及必要之證照訓練(特殊作業者)，具備危害鑑別與風險評估能力。
</w:t>
      </w:r>
    </w:p>
    <w:p>
      <w:pPr>
        <w:spacing w:line="240" w:lineRule="auto"/>
      </w:pPr>
      <w:r>
        <w:rPr/>
        <w:t xml:space="preserve">答案：為辨識、評估與控制工作環境及作業危害，台中廠與東莞廠未來配合本公司內控制度，建立「危害鑑別風險評估管理規範」及填寫「危害鑑別與風險評估登錄表」，以符合內部控制作業程序。
本公司已編製《緊急應變管理規範》，針對緊急情況規定對應的安全應急措施。對應重要的設備、機器，已制定安全作業指引，操作員作業前須進行崗位培訓考核合格方能上崗。針對重要設備機器，制訂日/周/月/季/年的點檢規範和保養計劃，減少設備故障產生的安全隱患。已制訂設備、機器故障或安全功能受損時，員工停機、反饋、維修的作業規範。</w:t>
      </w:r>
    </w:p>
    <w:p>
      <w:pPr/>
      <w:r>
        <w:rPr/>
        <w:t xml:space="preserve"/>
      </w:r>
    </w:p>
    <w:p>
      <w:pPr>
        <w:spacing w:line="240" w:lineRule="auto"/>
      </w:pPr>
      <w:r>
        <w:rPr>
          <w:sz w:val="28"/>
          <w:szCs w:val="28"/>
          <w:b w:val="1"/>
          <w:bCs w:val="1"/>
          <w:u w:val="single"/>
        </w:rPr>
        <w:t xml:space="preserve">請說明員工報告危害或危險狀況的流程，並解釋如何保護報告者免於處份(GRI 403-2) </w:t>
      </w:r>
    </w:p>
    <w:p>
      <w:pPr>
        <w:spacing w:line="240" w:lineRule="auto"/>
      </w:pPr>
      <w:r>
        <w:rPr>
          <w:sz w:val="22"/>
          <w:szCs w:val="22"/>
        </w:rPr>
        <w:t xml:space="preserve">範例：
公司對工作者反應之職業危害與危險狀況均立即交付權責單位妥善排除，並依內部規範開立安衛意見表或不符合事項矯正單進行管考，同時將相關資訊於各場址間進行交流分享，在製程作業標準書、安全作業標準或緊急應變計畫書揭示相關防範措施及工作者可自行處置之緊急作為，包含緊急避難與逃生。</w:t>
      </w:r>
    </w:p>
    <w:p>
      <w:pPr>
        <w:spacing w:line="240" w:lineRule="auto"/>
      </w:pPr>
      <w:r>
        <w:rPr/>
        <w:t xml:space="preserve">答案：1. 對於已發生工傷的危害：
1.1受傷害員工或發現人員第一時間通知行管部安排送醫就診。
1.2工傷/意外事故發生 1 小時之內，所屬單位主管向上級主管報告基本情況。
1.3所屬單位主管填寫《工傷/意外事故申報表》描述事件經過，應到現場查證及向見證人瞭解。
2.對於未導致工傷的工安事故：
2.1事故發生後24小時內，發生單位須填寫《工安事故申報表》，簡述事故經過，向公司報告。
3.對於未導致負面衝擊的危險狀態或安全隱患：
3.1公司制訂獎勵機制，鼓勵員工通過分享會、意見信箱等途徑，反饋意見或提出實質性建議，以發現、減少及預防不安全因素。</w:t>
      </w:r>
    </w:p>
    <w:p>
      <w:pPr/>
      <w:r>
        <w:rPr/>
        <w:t xml:space="preserve"/>
      </w:r>
    </w:p>
    <w:p>
      <w:pPr>
        <w:spacing w:line="240" w:lineRule="auto"/>
      </w:pPr>
      <w:r>
        <w:rPr>
          <w:sz w:val="28"/>
          <w:szCs w:val="28"/>
          <w:b w:val="1"/>
          <w:bCs w:val="1"/>
          <w:u w:val="single"/>
        </w:rPr>
        <w:t xml:space="preserve">是否有工作規定、作業辦法，保障員工在面臨危害，或發現可能危害時，得以自行離開工作並不受處份？請說明規範的依據與內容(GRI 403-2)  </w:t>
      </w:r>
    </w:p>
    <w:p>
      <w:pPr>
        <w:spacing w:line="240" w:lineRule="auto"/>
      </w:pPr>
      <w:r>
        <w:rPr>
          <w:sz w:val="22"/>
          <w:szCs w:val="22"/>
        </w:rPr>
        <w:t xml:space="preserve">範例：
公司對工作者反應之職業危害與危險狀況均立即交付權責單位妥善排除，並依內部規範開立安衛意見表或不符合事項矯正單進行管考，同時將相關資訊於各場址間進行交流分享，在製程作業標準書、安全作業標準或緊急應變計畫書揭示相關防範措施及工作者可自行處置之緊急作為，包含緊急避難與逃生。</w:t>
      </w:r>
    </w:p>
    <w:p>
      <w:pPr>
        <w:spacing w:line="240" w:lineRule="auto"/>
      </w:pPr>
      <w:r>
        <w:rPr/>
        <w:t xml:space="preserve">答案：已 制訂《緊急應變管理規範》，設定各廠區應急小組，指定緊急疏散功能人員，一旦發現緊急情況或可能危害時，員工在疏散負責人員指揮下離開現場，保障員工有序撤離到緊急集合區。</w:t>
      </w:r>
    </w:p>
    <w:p>
      <w:pPr/>
      <w:r>
        <w:rPr/>
        <w:t xml:space="preserve"/>
      </w:r>
    </w:p>
    <w:p>
      <w:pPr>
        <w:spacing w:line="240" w:lineRule="auto"/>
      </w:pPr>
      <w:r>
        <w:rPr>
          <w:sz w:val="28"/>
          <w:szCs w:val="28"/>
          <w:b w:val="1"/>
          <w:bCs w:val="1"/>
          <w:u w:val="single"/>
        </w:rPr>
        <w:t xml:space="preserve">請填寫作業活動於控管措施下，高度與中度風險盤查結果與安衛目標，標的方案執行成果說明至下表</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高度與中度風險盤查結果-數量</w:t>
            </w:r>
          </w:p>
        </w:tc>
        <w:tc>
          <w:tcPr>
            <w:tcW w:w="1800" w:type="dxa"/>
            <w:noWrap/>
          </w:tcPr>
          <w:p>
            <w:pPr>
              <w:jc w:val="center"/>
              <w:spacing w:line="240" w:lineRule="auto"/>
            </w:pPr>
            <w:r>
              <w:rPr>
                <w:sz w:val="24"/>
                <w:szCs w:val="24"/>
                <w:b w:val="1"/>
                <w:bCs w:val="1"/>
              </w:rPr>
              <w:t xml:space="preserve">高度與中度風險盤查結果-危害類型</w:t>
            </w:r>
          </w:p>
        </w:tc>
        <w:tc>
          <w:tcPr>
            <w:tcW w:w="1800" w:type="dxa"/>
            <w:noWrap/>
          </w:tcPr>
          <w:p>
            <w:pPr>
              <w:jc w:val="center"/>
              <w:spacing w:line="240" w:lineRule="auto"/>
            </w:pPr>
            <w:r>
              <w:rPr>
                <w:sz w:val="24"/>
                <w:szCs w:val="24"/>
                <w:b w:val="1"/>
                <w:bCs w:val="1"/>
              </w:rPr>
              <w:t xml:space="preserve">安衛目標標的方案執行成果─項目</w:t>
            </w:r>
          </w:p>
        </w:tc>
        <w:tc>
          <w:tcPr>
            <w:tcW w:w="1800" w:type="dxa"/>
            <w:noWrap/>
          </w:tcPr>
          <w:p>
            <w:pPr>
              <w:jc w:val="center"/>
              <w:spacing w:line="240" w:lineRule="auto"/>
            </w:pPr>
            <w:r>
              <w:rPr>
                <w:sz w:val="24"/>
                <w:szCs w:val="24"/>
                <w:b w:val="1"/>
                <w:bCs w:val="1"/>
              </w:rPr>
              <w:t xml:space="preserve">安衛目標標的方案執行成果─設定</w:t>
            </w:r>
          </w:p>
        </w:tc>
        <w:tc>
          <w:tcPr>
            <w:tcW w:w="1800" w:type="dxa"/>
            <w:noWrap/>
          </w:tcPr>
          <w:p>
            <w:pPr>
              <w:jc w:val="center"/>
              <w:spacing w:line="240" w:lineRule="auto"/>
            </w:pPr>
            <w:r>
              <w:rPr>
                <w:sz w:val="24"/>
                <w:szCs w:val="24"/>
                <w:b w:val="1"/>
                <w:bCs w:val="1"/>
              </w:rPr>
              <w:t xml:space="preserve">安衛目標標的方案執行成果─達成</w:t>
            </w:r>
          </w:p>
        </w:tc>
      </w:tr>
      <w:tr>
        <w:trPr/>
        <w:tc>
          <w:tcPr>
            <w:tcW w:w="1800" w:type="dxa"/>
            <w:noWrap/>
          </w:tcPr>
          <w:p>
            <w:pPr>
              <w:jc w:val="center"/>
              <w:spacing w:line="240" w:lineRule="auto"/>
            </w:pPr>
            <w:r>
              <w:rPr>
                <w:sz w:val="24"/>
                <w:szCs w:val="24"/>
                <w:b w:val="1"/>
                <w:bCs w:val="1"/>
              </w:rPr>
              <w:t xml:space="preserve">總公司(台北&amp;台中)-高度風險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總公司(台北&amp;台中)-中度風險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總公司(台北&amp;台中)-低度風險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東莞TMC-高度風險</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東莞TMC-中度風險</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東莞TMC-低度風險</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請說明貴公司的事故調查流程依據的政策</w:t>
      </w:r>
    </w:p>
    <w:p>
      <w:pPr>
        <w:spacing w:line="240" w:lineRule="auto"/>
      </w:pPr>
      <w:r>
        <w:rPr/>
        <w:t xml:space="preserve">答案：1. 對於已發生工傷的危害，《工傷管理辦法》規定調查流程。
2.對於未導致工傷的工安事故，《緊急應變管理規範》規定調查流程。
</w:t>
      </w:r>
    </w:p>
    <w:p>
      <w:pPr/>
      <w:r>
        <w:rPr/>
        <w:t xml:space="preserve"/>
      </w:r>
    </w:p>
    <w:p>
      <w:pPr>
        <w:spacing w:line="240" w:lineRule="auto"/>
      </w:pPr>
      <w:r>
        <w:rPr>
          <w:sz w:val="28"/>
          <w:szCs w:val="28"/>
          <w:b w:val="1"/>
          <w:bCs w:val="1"/>
          <w:u w:val="single"/>
        </w:rPr>
        <w:t xml:space="preserve">請說明貴公司事故的調查流程</w:t>
      </w:r>
    </w:p>
    <w:p>
      <w:pPr>
        <w:spacing w:line="240" w:lineRule="auto"/>
      </w:pPr>
      <w:r>
        <w:rPr/>
        <w:t xml:space="preserve">答案：1. 對於已發生工傷的危害，《工傷管理辦法》規定：
1.1所屬單位主管填寫《工傷/意外事故申報表》描述事件經過，應到現場查證及向見證人瞭解。
1.2人資課收到《工傷/意外事故申報表》並判定為工傷後，向社保局進行工傷申報。
1.3所屬單位主管制訂《工傷分析改善報告》的，進行客觀具體的工傷事故原因分析，並指定責任單位提出切實具體的改善措施及改善完結時間。
1.4針對責任單位工傷事故改善措施，經相關單位經辦人（確認人）、單位主管、部門主管簽字確認，並附相關改善資料後，由人資課呈送總經理核准。人資及所屬單位跟蹤改善措施完成進度，直至結案。
2.對於未導致工傷的工安事故，《緊急應變管理規範》規定：
2.1發生單位應召集相關部門，進行事故原因分析，並針對事故根源制定臨時應急措施及長期改善方案。
2.3環安專員追蹤改善方案進度，並排查同類風險直至結案。</w:t>
      </w:r>
    </w:p>
    <w:p>
      <w:pPr/>
      <w:r>
        <w:rPr/>
        <w:t xml:space="preserve"/>
      </w:r>
    </w:p>
    <w:p>
      <w:pPr>
        <w:spacing w:line="240" w:lineRule="auto"/>
      </w:pPr>
      <w:r>
        <w:rPr>
          <w:sz w:val="28"/>
          <w:szCs w:val="28"/>
          <w:b w:val="1"/>
          <w:bCs w:val="1"/>
          <w:u w:val="single"/>
        </w:rPr>
        <w:t xml:space="preserve">職安衛管理是否有納入保全及承攬商？有無對保全及承攬商進行職安衛的相關說明？</w:t>
      </w:r>
    </w:p>
    <w:p>
      <w:pPr>
        <w:spacing w:line="240" w:lineRule="auto"/>
      </w:pPr>
      <w:r>
        <w:rPr/>
        <w:t xml:space="preserve">答案：東莞廠保全為廠內員工。
東莞廠要求承攬商簽訂《施工商作業安全衛生承諾書》，並向作業人員宣導相關作業安全細則。</w:t>
      </w:r>
    </w:p>
    <w:p>
      <w:pPr/>
      <w:r>
        <w:rPr/>
        <w:t xml:space="preserve"/>
      </w:r>
    </w:p>
    <w:p>
      <w:pPr>
        <w:spacing w:line="240" w:lineRule="auto"/>
      </w:pPr>
      <w:r>
        <w:rPr>
          <w:sz w:val="28"/>
          <w:szCs w:val="28"/>
          <w:b w:val="1"/>
          <w:bCs w:val="1"/>
          <w:u w:val="single"/>
        </w:rPr>
        <w:t xml:space="preserve">因應2025年台中廠擴廠(新廠建置)，對保全、相關的承攬商有哪些職安衛管理措施？是否有針對工人的安全進行管理措施？</w:t>
      </w:r>
    </w:p>
    <w:p>
      <w:pPr>
        <w:spacing w:line="240" w:lineRule="auto"/>
      </w:pPr>
      <w:r>
        <w:rPr/>
        <w:t xml:space="preserve">答案：不適用</w:t>
      </w:r>
    </w:p>
    <w:p>
      <w:pPr/>
      <w:r>
        <w:rPr/>
        <w:t xml:space="preserve"/>
      </w:r>
    </w:p>
    <w:p>
      <w:pPr>
        <w:spacing w:line="240" w:lineRule="auto"/>
      </w:pPr>
      <w:r>
        <w:rPr>
          <w:sz w:val="28"/>
          <w:szCs w:val="28"/>
          <w:b w:val="1"/>
          <w:bCs w:val="1"/>
          <w:u w:val="single"/>
        </w:rPr>
        <w:t xml:space="preserve">東莞廠裝修時，針對工人的安全有進行哪些管理措施？</w:t>
      </w:r>
    </w:p>
    <w:p>
      <w:pPr>
        <w:spacing w:line="240" w:lineRule="auto"/>
      </w:pPr>
      <w:r>
        <w:rPr/>
        <w:t xml:space="preserve">答案：1.要求承攬商按《施工商作業安全衛生承諾書》要求作業人員做好個人防護，並按安全規定施工。
2.施工作業人員進廠前，保安要求作業人員登記施工類別、防護措施等信息，並通知營建專員跟進。
3.營建專員檢查危險作業人員特殊作業資格證明和個人防護措施，並現場監督施工作業情況。如在人流經過區域，則設置起警戒線及警示牌，以防員工誤如施工區域。</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6.4.2 職業健康服務、有關職業安全衛生之工作者參與、諮商與溝通</w:t>
      </w:r>
    </w:p>
    <w:p>
      <w:pPr/>
      <w:r>
        <w:rPr/>
        <w:t xml:space="preserve"/>
      </w:r>
    </w:p>
    <w:p>
      <w:pPr>
        <w:spacing w:line="240" w:lineRule="auto"/>
      </w:pPr>
      <w:r>
        <w:rPr>
          <w:sz w:val="28"/>
          <w:szCs w:val="28"/>
          <w:b w:val="1"/>
          <w:bCs w:val="1"/>
          <w:u w:val="single"/>
        </w:rPr>
        <w:t xml:space="preserve">請說明貴公司在2025年有哪些「優於法規」的作法來促進員工的職業健康福祉(GRI 403-6)(GRI 403-7)</w:t>
      </w:r>
    </w:p>
    <w:p>
      <w:pPr>
        <w:spacing w:line="240" w:lineRule="auto"/>
      </w:pPr>
      <w:r>
        <w:rPr>
          <w:sz w:val="22"/>
          <w:szCs w:val="22"/>
        </w:rPr>
        <w:t xml:space="preserve">2024年報告書內容：
1.總部/台中廠：所有員工每2年一次健康檢查(優於法規)(確保品質與效益之措施：2025計畫導入職醫/職護臨場服務)
2.東莞廠：邀請專業醫療機構來廠開展健康座談會(確保品質與效益之措施：確保人員參加，提升健康意識
共有60人參加健康講座)</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職業健康服務功能類別</w:t>
            </w:r>
          </w:p>
        </w:tc>
        <w:tc>
          <w:tcPr>
            <w:tcW w:w="1800" w:type="dxa"/>
            <w:noWrap/>
          </w:tcPr>
          <w:p>
            <w:pPr>
              <w:jc w:val="center"/>
              <w:spacing w:line="240" w:lineRule="auto"/>
            </w:pPr>
            <w:r>
              <w:rPr>
                <w:sz w:val="24"/>
                <w:szCs w:val="24"/>
                <w:b w:val="1"/>
                <w:bCs w:val="1"/>
              </w:rPr>
              <w:t xml:space="preserve">如何確保品質與效益</w:t>
            </w:r>
          </w:p>
        </w:tc>
      </w:tr>
      <w:tr>
        <w:trPr/>
        <w:tc>
          <w:tcPr>
            <w:tcW w:w="1800" w:type="dxa"/>
            <w:noWrap/>
          </w:tcPr>
          <w:p>
            <w:pPr>
              <w:jc w:val="center"/>
              <w:spacing w:line="240" w:lineRule="auto"/>
            </w:pPr>
            <w:r>
              <w:rPr/>
              <w:t xml:space="preserve">在車間配置血壓計供員工隨意使用。</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描述工作者的參與，職業安全衛生管理系統的制定、實施與評估進行的諮商，以及提供工作者職業安全衛生相關資訊與溝通之流程(GRI 403-4) </w:t>
      </w:r>
    </w:p>
    <w:p>
      <w:pPr>
        <w:spacing w:line="240" w:lineRule="auto"/>
      </w:pPr>
      <w:r>
        <w:rPr>
          <w:sz w:val="22"/>
          <w:szCs w:val="22"/>
        </w:rPr>
        <w:t xml:space="preserve">說明：
請說明貴公司在職業安全衛生管理上，
1.工作者參與方式：例如在制定安全衛生政策、程序或改善措施時，員工是參與意見回饋或提出建議的機制或流程？
2.諮商與溝通方式：在實施或評估職安衛制度時，是否有舉辦會議、委員會、意見調查或其他溝通管道？
3.資訊提供與溝通流程：公司如何讓員工了解職安衛相關資訊（如教育訓練、公告、內部系統、信箱等）？有固定的溝通機制嗎？員工反映意見的流程</w:t>
      </w:r>
    </w:p>
    <w:p>
      <w:pPr>
        <w:spacing w:line="240" w:lineRule="auto"/>
      </w:pPr>
      <w:r>
        <w:rPr/>
        <w:t xml:space="preserve">答案：2/11 Amelia補充: 請顧問參考下面Q3回應</w:t>
      </w:r>
    </w:p>
    <w:p>
      <w:pPr/>
      <w:r>
        <w:rPr/>
        <w:t xml:space="preserve"/>
      </w:r>
    </w:p>
    <w:p>
      <w:pPr>
        <w:spacing w:line="240" w:lineRule="auto"/>
      </w:pPr>
      <w:r>
        <w:rPr>
          <w:sz w:val="28"/>
          <w:szCs w:val="28"/>
          <w:b w:val="1"/>
          <w:bCs w:val="1"/>
          <w:u w:val="single"/>
        </w:rPr>
        <w:t xml:space="preserve">若設有由勞資共同組成正式的安全衛生委員會，描述他們的職責、開會頻率、決策權，以及若該委員會無工作者擔任代表，解釋其原因</w:t>
      </w:r>
    </w:p>
    <w:p>
      <w:pPr>
        <w:spacing w:line="240" w:lineRule="auto"/>
      </w:pPr>
      <w:r>
        <w:rPr/>
        <w:t xml:space="preserve">答案：爲了確保公司生產、運營順利，環境合規，安全生產，人員飲食生活安全衛生。公司成立了環安委員會，並制訂《環安委員會工作管理規範》。委員會指定主任委員，全面負責環安委員會所有工作；執行副主任委員，協調、追蹤、執行、落實環安委員會會議決議所有工作；食品安全委員，負責公司所有食品、飲用水及飲品衛生安全，存量充足合理，確保食品在有效期內及人員飲食安全衛生；環安委員，負責所在廠區安全生產、消防檢查及隱患排除、環保檢查督導職業病預防。委員會每季度一次會議。主任委員負責總的協調指揮工作，向下宣導公司環安政策和指令。各類別委員可在會上反饋員工意見與建議，提報討論。【備註：東莞廠有周會，出席者包括各類別委員和基層主管，周會上設員工訴求環節，由基層主管代表員工提出意見和建議，以便委員收集信息】</w:t>
      </w:r>
    </w:p>
    <w:p>
      <w:pPr/>
      <w:r>
        <w:rPr/>
        <w:t xml:space="preserve"/>
      </w:r>
    </w:p>
    <w:p>
      <w:pPr>
        <w:spacing w:line="240" w:lineRule="auto"/>
      </w:pPr>
      <w:r>
        <w:rPr>
          <w:sz w:val="28"/>
          <w:szCs w:val="28"/>
          <w:b w:val="1"/>
          <w:bCs w:val="1"/>
          <w:u w:val="single"/>
        </w:rPr>
        <w:t xml:space="preserve">請填寫職業安全衛生委員會相關會議資訊 (期間: 2025/01/01-2025/12/31)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開會日期</w:t>
            </w:r>
          </w:p>
        </w:tc>
        <w:tc>
          <w:tcPr>
            <w:tcW w:w="1800" w:type="dxa"/>
            <w:noWrap/>
          </w:tcPr>
          <w:p>
            <w:pPr>
              <w:jc w:val="center"/>
              <w:spacing w:line="240" w:lineRule="auto"/>
            </w:pPr>
            <w:r>
              <w:rPr>
                <w:sz w:val="24"/>
                <w:szCs w:val="24"/>
                <w:b w:val="1"/>
                <w:bCs w:val="1"/>
              </w:rPr>
              <w:t xml:space="preserve">委員人數</w:t>
            </w:r>
          </w:p>
        </w:tc>
        <w:tc>
          <w:tcPr>
            <w:tcW w:w="1800" w:type="dxa"/>
            <w:noWrap/>
          </w:tcPr>
          <w:p>
            <w:pPr>
              <w:jc w:val="center"/>
              <w:spacing w:line="240" w:lineRule="auto"/>
            </w:pPr>
            <w:r>
              <w:rPr>
                <w:sz w:val="24"/>
                <w:szCs w:val="24"/>
                <w:b w:val="1"/>
                <w:bCs w:val="1"/>
              </w:rPr>
              <w:t xml:space="preserve">勞工代表人數</w:t>
            </w:r>
          </w:p>
        </w:tc>
        <w:tc>
          <w:tcPr>
            <w:tcW w:w="1800" w:type="dxa"/>
            <w:noWrap/>
          </w:tcPr>
          <w:p>
            <w:pPr>
              <w:jc w:val="center"/>
              <w:spacing w:line="240" w:lineRule="auto"/>
            </w:pPr>
            <w:r>
              <w:rPr>
                <w:sz w:val="24"/>
                <w:szCs w:val="24"/>
                <w:b w:val="1"/>
                <w:bCs w:val="1"/>
              </w:rPr>
              <w:t xml:space="preserve">勞工代表比率</w:t>
            </w:r>
          </w:p>
        </w:tc>
        <w:tc>
          <w:tcPr>
            <w:tcW w:w="1800" w:type="dxa"/>
            <w:noWrap/>
          </w:tcPr>
          <w:p>
            <w:pPr>
              <w:jc w:val="center"/>
              <w:spacing w:line="240" w:lineRule="auto"/>
            </w:pPr>
            <w:r>
              <w:rPr>
                <w:sz w:val="24"/>
                <w:szCs w:val="24"/>
                <w:b w:val="1"/>
                <w:bCs w:val="1"/>
              </w:rPr>
              <w:t xml:space="preserve">補充說明</w:t>
            </w:r>
          </w:p>
        </w:tc>
      </w:tr>
      <w:tr>
        <w:trPr/>
        <w:tc>
          <w:tcPr>
            <w:tcW w:w="1800" w:type="dxa"/>
            <w:noWrap/>
          </w:tcPr>
          <w:p>
            <w:pPr>
              <w:jc w:val="center"/>
              <w:spacing w:line="240" w:lineRule="auto"/>
            </w:pPr>
            <w:r>
              <w:rPr/>
              <w:t xml:space="preserve">2/11 Amelia補充: 請顧問參考下面Q5回應</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其他參與、諮詢及溝通管道及對外溝通方式：請填寫其他參與、諮詢及溝通管道、頻率及對外溝通方式至下表</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頻率</w:t>
            </w:r>
          </w:p>
        </w:tc>
        <w:tc>
          <w:tcPr>
            <w:tcW w:w="1800" w:type="dxa"/>
            <w:noWrap/>
          </w:tcPr>
          <w:p>
            <w:pPr>
              <w:jc w:val="center"/>
              <w:spacing w:line="240" w:lineRule="auto"/>
            </w:pPr>
            <w:r>
              <w:rPr>
                <w:sz w:val="24"/>
                <w:szCs w:val="24"/>
                <w:b w:val="1"/>
                <w:bCs w:val="1"/>
              </w:rPr>
              <w:t xml:space="preserve">2025年次數</w:t>
            </w:r>
          </w:p>
        </w:tc>
        <w:tc>
          <w:tcPr>
            <w:tcW w:w="1800" w:type="dxa"/>
            <w:noWrap/>
          </w:tcPr>
          <w:p>
            <w:pPr>
              <w:jc w:val="center"/>
              <w:spacing w:line="240" w:lineRule="auto"/>
            </w:pPr>
            <w:r>
              <w:rPr>
                <w:sz w:val="24"/>
                <w:szCs w:val="24"/>
                <w:b w:val="1"/>
                <w:bCs w:val="1"/>
              </w:rPr>
              <w:t xml:space="preserve">溝通方式</w:t>
            </w:r>
          </w:p>
        </w:tc>
      </w:tr>
      <w:tr>
        <w:trPr/>
        <w:tc>
          <w:tcPr>
            <w:tcW w:w="1800" w:type="dxa"/>
            <w:noWrap/>
          </w:tcPr>
          <w:p>
            <w:pPr>
              <w:jc w:val="center"/>
              <w:spacing w:line="240" w:lineRule="auto"/>
            </w:pPr>
            <w:r>
              <w:rPr>
                <w:sz w:val="24"/>
                <w:szCs w:val="24"/>
                <w:b w:val="1"/>
                <w:bCs w:val="1"/>
              </w:rPr>
              <w:t xml:space="preserve">安衛管理委員會</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2（說明，下半年開始每季度一次環安月會。）</w:t>
            </w:r>
          </w:p>
        </w:tc>
        <w:tc>
          <w:tcPr>
            <w:tcW w:w="1800" w:type="dxa"/>
            <w:noWrap/>
          </w:tcPr>
          <w:p>
            <w:pPr>
              <w:jc w:val="center"/>
              <w:spacing w:line="240" w:lineRule="auto"/>
            </w:pPr>
            <w:r>
              <w:rPr/>
              <w:t xml:space="preserve">會議宣導討論</w:t>
            </w:r>
          </w:p>
        </w:tc>
      </w:tr>
      <w:tr>
        <w:trPr/>
        <w:tc>
          <w:tcPr>
            <w:tcW w:w="1800" w:type="dxa"/>
            <w:noWrap/>
          </w:tcPr>
          <w:p>
            <w:pPr>
              <w:jc w:val="center"/>
              <w:spacing w:line="240" w:lineRule="auto"/>
            </w:pPr>
            <w:r>
              <w:rPr>
                <w:sz w:val="24"/>
                <w:szCs w:val="24"/>
                <w:b w:val="1"/>
                <w:bCs w:val="1"/>
              </w:rPr>
              <w:t xml:space="preserve">安衛管理小組</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員工年終座談會</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環境滿意度調查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安衛意見表</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不符合事項檢討會議</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2（與環安月會一起）</w:t>
            </w:r>
          </w:p>
        </w:tc>
        <w:tc>
          <w:tcPr>
            <w:tcW w:w="1800" w:type="dxa"/>
            <w:noWrap/>
          </w:tcPr>
          <w:p>
            <w:pPr>
              <w:jc w:val="center"/>
              <w:spacing w:line="240" w:lineRule="auto"/>
            </w:pPr>
            <w:r>
              <w:rPr/>
              <w:t xml:space="preserve">會議宣導討論</w:t>
            </w:r>
          </w:p>
        </w:tc>
      </w:tr>
      <w:tr>
        <w:trPr/>
        <w:tc>
          <w:tcPr>
            <w:tcW w:w="1800" w:type="dxa"/>
            <w:noWrap/>
          </w:tcPr>
          <w:p>
            <w:pPr>
              <w:jc w:val="center"/>
              <w:spacing w:line="240" w:lineRule="auto"/>
            </w:pPr>
            <w:r>
              <w:rPr>
                <w:sz w:val="24"/>
                <w:szCs w:val="24"/>
                <w:b w:val="1"/>
                <w:bCs w:val="1"/>
              </w:rPr>
              <w:t xml:space="preserve">事件調查檢討會議</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因應2025年台中廠擴廠(新廠建置)，對於保全、承攬商有進行哪些健康風險管理、健康促進服務(例如遵守公司健康安全政策、定期檢查其作業環境與健康狀況等)(GRI 403-6)</w:t>
      </w:r>
    </w:p>
    <w:p>
      <w:pPr>
        <w:spacing w:line="240" w:lineRule="auto"/>
      </w:pPr>
      <w:r>
        <w:rPr/>
        <w:t xml:space="preserve">答案：不適用</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6.4.3 職場安全及安衛教育訓練參加人次與時數</w:t>
      </w:r>
    </w:p>
    <w:p>
      <w:pPr/>
      <w:r>
        <w:rPr/>
        <w:t xml:space="preserve"/>
      </w:r>
    </w:p>
    <w:p>
      <w:pPr>
        <w:spacing w:line="240" w:lineRule="auto"/>
      </w:pPr>
      <w:r>
        <w:rPr>
          <w:sz w:val="28"/>
          <w:szCs w:val="28"/>
          <w:b w:val="1"/>
          <w:bCs w:val="1"/>
          <w:u w:val="single"/>
        </w:rPr>
        <w:t xml:space="preserve">2025年職場安全及安衛教育訓練參加人次與時數 (GRI 403-5)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職前訓練(新進及調職人員)-總人次</w:t>
            </w:r>
          </w:p>
        </w:tc>
        <w:tc>
          <w:tcPr>
            <w:tcW w:w="1800" w:type="dxa"/>
            <w:noWrap/>
          </w:tcPr>
          <w:p>
            <w:pPr>
              <w:jc w:val="center"/>
              <w:spacing w:line="240" w:lineRule="auto"/>
            </w:pPr>
            <w:r>
              <w:rPr>
                <w:sz w:val="24"/>
                <w:szCs w:val="24"/>
                <w:b w:val="1"/>
                <w:bCs w:val="1"/>
              </w:rPr>
              <w:t xml:space="preserve">職前訓練(新進及調職人員)-總時數</w:t>
            </w:r>
          </w:p>
        </w:tc>
        <w:tc>
          <w:tcPr>
            <w:tcW w:w="1800" w:type="dxa"/>
            <w:noWrap/>
          </w:tcPr>
          <w:p>
            <w:pPr>
              <w:jc w:val="center"/>
              <w:spacing w:line="240" w:lineRule="auto"/>
            </w:pPr>
            <w:r>
              <w:rPr>
                <w:sz w:val="24"/>
                <w:szCs w:val="24"/>
                <w:b w:val="1"/>
                <w:bCs w:val="1"/>
              </w:rPr>
              <w:t xml:space="preserve">法令證照訓練(證照初訓)-總人次</w:t>
            </w:r>
          </w:p>
        </w:tc>
        <w:tc>
          <w:tcPr>
            <w:tcW w:w="1800" w:type="dxa"/>
            <w:noWrap/>
          </w:tcPr>
          <w:p>
            <w:pPr>
              <w:jc w:val="center"/>
              <w:spacing w:line="240" w:lineRule="auto"/>
            </w:pPr>
            <w:r>
              <w:rPr>
                <w:sz w:val="24"/>
                <w:szCs w:val="24"/>
                <w:b w:val="1"/>
                <w:bCs w:val="1"/>
              </w:rPr>
              <w:t xml:space="preserve">法令證照訓練(證照複訓)-總時數</w:t>
            </w:r>
          </w:p>
        </w:tc>
        <w:tc>
          <w:tcPr>
            <w:tcW w:w="1800" w:type="dxa"/>
            <w:noWrap/>
          </w:tcPr>
          <w:p>
            <w:pPr>
              <w:jc w:val="center"/>
              <w:spacing w:line="240" w:lineRule="auto"/>
            </w:pPr>
            <w:r>
              <w:rPr>
                <w:sz w:val="24"/>
                <w:szCs w:val="24"/>
                <w:b w:val="1"/>
                <w:bCs w:val="1"/>
              </w:rPr>
              <w:t xml:space="preserve">在職訓練(特定或一般人員)-總人次</w:t>
            </w:r>
          </w:p>
        </w:tc>
      </w:tr>
      <w:tr>
        <w:trPr/>
        <w:tc>
          <w:tcPr>
            <w:tcW w:w="1800" w:type="dxa"/>
            <w:noWrap/>
          </w:tcPr>
          <w:p>
            <w:pPr>
              <w:jc w:val="center"/>
              <w:spacing w:line="240" w:lineRule="auto"/>
            </w:pPr>
            <w:r>
              <w:rPr/>
              <w:t xml:space="preserve">東莞廠</w:t>
            </w:r>
          </w:p>
        </w:tc>
        <w:tc>
          <w:tcPr>
            <w:tcW w:w="1800" w:type="dxa"/>
            <w:noWrap/>
          </w:tcPr>
          <w:p>
            <w:pPr>
              <w:jc w:val="center"/>
              <w:spacing w:line="240" w:lineRule="auto"/>
            </w:pPr>
            <w:r>
              <w:rPr/>
              <w:t xml:space="preserve">1204</w:t>
            </w:r>
          </w:p>
        </w:tc>
        <w:tc>
          <w:tcPr>
            <w:tcW w:w="1800" w:type="dxa"/>
            <w:noWrap/>
          </w:tcPr>
          <w:p>
            <w:pPr>
              <w:jc w:val="center"/>
              <w:spacing w:line="240" w:lineRule="auto"/>
            </w:pPr>
            <w:r>
              <w:rPr/>
              <w:t xml:space="preserve">2408</w:t>
            </w:r>
          </w:p>
        </w:tc>
        <w:tc>
          <w:tcPr>
            <w:tcW w:w="1800" w:type="dxa"/>
            <w:noWrap/>
          </w:tcPr>
          <w:p>
            <w:pPr>
              <w:jc w:val="center"/>
              <w:spacing w:line="240" w:lineRule="auto"/>
            </w:pPr>
            <w:r>
              <w:rPr/>
              <w:t xml:space="preserve">21</w:t>
            </w:r>
          </w:p>
        </w:tc>
        <w:tc>
          <w:tcPr>
            <w:tcW w:w="1800" w:type="dxa"/>
            <w:noWrap/>
          </w:tcPr>
          <w:p>
            <w:pPr>
              <w:jc w:val="center"/>
              <w:spacing w:line="240" w:lineRule="auto"/>
            </w:pPr>
            <w:r>
              <w:rPr/>
              <w:t xml:space="preserve">210</w:t>
            </w:r>
          </w:p>
        </w:tc>
        <w:tc>
          <w:tcPr>
            <w:tcW w:w="1800" w:type="dxa"/>
            <w:noWrap/>
          </w:tcPr>
          <w:p>
            <w:pPr>
              <w:jc w:val="center"/>
              <w:spacing w:line="240" w:lineRule="auto"/>
            </w:pPr>
            <w:r>
              <w:rPr/>
              <w:t xml:space="preserve"/>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在職訓練(特定或一般人員)-總時數</w:t>
            </w:r>
          </w:p>
        </w:tc>
      </w:tr>
      <w:tr>
        <w:trPr/>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2025年應變演練(各廠址)</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項目</w:t>
            </w:r>
          </w:p>
        </w:tc>
        <w:tc>
          <w:tcPr>
            <w:tcW w:w="1800" w:type="dxa"/>
            <w:noWrap/>
          </w:tcPr>
          <w:p>
            <w:pPr>
              <w:jc w:val="center"/>
              <w:spacing w:line="240" w:lineRule="auto"/>
            </w:pPr>
            <w:r>
              <w:rPr>
                <w:sz w:val="24"/>
                <w:szCs w:val="24"/>
                <w:b w:val="1"/>
                <w:bCs w:val="1"/>
              </w:rPr>
              <w:t xml:space="preserve">次數</w:t>
            </w:r>
          </w:p>
        </w:tc>
        <w:tc>
          <w:tcPr>
            <w:tcW w:w="1800" w:type="dxa"/>
            <w:noWrap/>
          </w:tcPr>
          <w:p>
            <w:pPr>
              <w:jc w:val="center"/>
              <w:spacing w:line="240" w:lineRule="auto"/>
            </w:pPr>
            <w:r>
              <w:rPr>
                <w:sz w:val="24"/>
                <w:szCs w:val="24"/>
                <w:b w:val="1"/>
                <w:bCs w:val="1"/>
              </w:rPr>
              <w:t xml:space="preserve">備註</w:t>
            </w:r>
          </w:p>
        </w:tc>
      </w:tr>
      <w:tr>
        <w:trPr/>
        <w:tc>
          <w:tcPr>
            <w:tcW w:w="1800" w:type="dxa"/>
            <w:noWrap/>
          </w:tcPr>
          <w:p>
            <w:pPr>
              <w:jc w:val="center"/>
              <w:spacing w:line="240" w:lineRule="auto"/>
            </w:pPr>
            <w:r>
              <w:rPr/>
              <w:t xml:space="preserve">東莞廠一二四六廠區</w:t>
            </w:r>
          </w:p>
        </w:tc>
        <w:tc>
          <w:tcPr>
            <w:tcW w:w="1800" w:type="dxa"/>
            <w:noWrap/>
          </w:tcPr>
          <w:p>
            <w:pPr>
              <w:jc w:val="center"/>
              <w:spacing w:line="240" w:lineRule="auto"/>
            </w:pPr>
            <w:r>
              <w:rPr/>
              <w:t xml:space="preserve">火災應急演練</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t xml:space="preserve">東莞廠六廠區</w:t>
            </w:r>
          </w:p>
        </w:tc>
        <w:tc>
          <w:tcPr>
            <w:tcW w:w="1800" w:type="dxa"/>
            <w:noWrap/>
          </w:tcPr>
          <w:p>
            <w:pPr>
              <w:jc w:val="center"/>
              <w:spacing w:line="240" w:lineRule="auto"/>
            </w:pPr>
            <w:r>
              <w:rPr/>
              <w:t xml:space="preserve">化學品洩露應急演練</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t xml:space="preserve">東莞廠一廠區</w:t>
            </w:r>
          </w:p>
        </w:tc>
        <w:tc>
          <w:tcPr>
            <w:tcW w:w="1800" w:type="dxa"/>
            <w:noWrap/>
          </w:tcPr>
          <w:p>
            <w:pPr>
              <w:jc w:val="center"/>
              <w:spacing w:line="240" w:lineRule="auto"/>
            </w:pPr>
            <w:r>
              <w:rPr/>
              <w:t xml:space="preserve">廢水處理設施故障應急演練</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因應2025年台中廠擴廠(新廠建置)，對於非員工之保全、承攬商有無進行職安的教育訓練，請提供教育訓練日期、參與總人次、總時數 (GRI 403-5) </w:t>
      </w:r>
    </w:p>
    <w:p>
      <w:pPr>
        <w:spacing w:line="240" w:lineRule="auto"/>
      </w:pPr>
      <w:r>
        <w:rPr/>
        <w:t xml:space="preserve">答案：不適用</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6.4.4 虛驚事件及安全事件、事故相關定義與統計 、失能傷害</w:t>
      </w:r>
    </w:p>
    <w:p>
      <w:pPr/>
      <w:r>
        <w:rPr/>
        <w:t xml:space="preserve"/>
      </w:r>
    </w:p>
    <w:p>
      <w:pPr>
        <w:spacing w:line="240" w:lineRule="auto"/>
      </w:pPr>
      <w:r>
        <w:rPr>
          <w:sz w:val="28"/>
          <w:szCs w:val="28"/>
          <w:b w:val="1"/>
          <w:bCs w:val="1"/>
          <w:u w:val="single"/>
        </w:rPr>
        <w:t xml:space="preserve">請填寫虛驚事件及安全事件之次數(GRI 403-1) </w:t>
      </w:r>
    </w:p>
    <w:p>
      <w:pPr>
        <w:spacing w:line="240" w:lineRule="auto"/>
      </w:pPr>
      <w:r>
        <w:rPr>
          <w:sz w:val="22"/>
          <w:szCs w:val="22"/>
        </w:rPr>
        <w:t xml:space="preserve">註1：虛驚事件意指與工作相關，並未對人員造成傷害或疾病，但有可能導致傷病發生之事件。(GRI 403-1、OSO 45001:2018)</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虛驚事件-廠區內</w:t>
            </w:r>
          </w:p>
        </w:tc>
        <w:tc>
          <w:tcPr>
            <w:tcW w:w="1800" w:type="dxa"/>
            <w:noWrap/>
          </w:tcPr>
          <w:p>
            <w:pPr>
              <w:jc w:val="center"/>
              <w:spacing w:line="240" w:lineRule="auto"/>
            </w:pPr>
            <w:r>
              <w:rPr>
                <w:sz w:val="24"/>
                <w:szCs w:val="24"/>
                <w:b w:val="1"/>
                <w:bCs w:val="1"/>
              </w:rPr>
              <w:t xml:space="preserve">虛驚事件-廠區外</w:t>
            </w:r>
          </w:p>
        </w:tc>
        <w:tc>
          <w:tcPr>
            <w:tcW w:w="1800" w:type="dxa"/>
            <w:noWrap/>
          </w:tcPr>
          <w:p>
            <w:pPr>
              <w:jc w:val="center"/>
              <w:spacing w:line="240" w:lineRule="auto"/>
            </w:pPr>
            <w:r>
              <w:rPr>
                <w:sz w:val="24"/>
                <w:szCs w:val="24"/>
                <w:b w:val="1"/>
                <w:bCs w:val="1"/>
              </w:rPr>
              <w:t xml:space="preserve">安全事件-廠區內</w:t>
            </w:r>
          </w:p>
        </w:tc>
        <w:tc>
          <w:tcPr>
            <w:tcW w:w="1800" w:type="dxa"/>
            <w:noWrap/>
          </w:tcPr>
          <w:p>
            <w:pPr>
              <w:jc w:val="center"/>
              <w:spacing w:line="240" w:lineRule="auto"/>
            </w:pPr>
            <w:r>
              <w:rPr>
                <w:sz w:val="24"/>
                <w:szCs w:val="24"/>
                <w:b w:val="1"/>
                <w:bCs w:val="1"/>
              </w:rPr>
              <w:t xml:space="preserve">安全事件-廠區外(通勤)</w:t>
            </w:r>
          </w:p>
        </w:tc>
      </w:tr>
      <w:tr>
        <w:trPr/>
        <w:tc>
          <w:tcPr>
            <w:tcW w:w="1800" w:type="dxa"/>
            <w:noWrap/>
          </w:tcPr>
          <w:p>
            <w:pPr>
              <w:jc w:val="center"/>
              <w:spacing w:line="240" w:lineRule="auto"/>
            </w:pPr>
            <w:r>
              <w:rPr/>
              <w:t xml:space="preserve">待統計
(2/11 Amelia補充: 東莞廠尚未統計虛驚事件數量，但有針對隱患防治管理，以及鼓勵內部透過不同的溝通管道反映潛在風險。詳見6.4.1 Q5說明)</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事故相關定義與2025年統計(GRI 403-9)(GRI 403-10)</w:t>
      </w:r>
    </w:p>
    <w:p>
      <w:pPr>
        <w:spacing w:line="240" w:lineRule="auto"/>
      </w:pPr>
      <w:r>
        <w:rPr>
          <w:sz w:val="22"/>
          <w:szCs w:val="22"/>
        </w:rPr>
        <w:t xml:space="preserve">註：
1.總工時：2025年全體員工之工作總時間
2.缺勤率(AR)：(總缺勤天數/總工作天數) X 100%，小數點第3位無條件捨去。
缺勤天數：指員工因失去勞動能力而脫離崗位。包括：病假(一般病假、住院病假、生理假)、事假(事假、家庭照顧假)、工傷假、職業病假；不包括：批准的假期(如特休)、產假、陪產假、喪假等。
3.職業傷害造成死亡比率：(職業傷害造成死亡人數/總經歷工時) X 1,000,000，小數點第3位無條件捨去。
死亡：因職業傷害致使工作者喪失生命，不論罹災至死亡時間之長短。
4.可記錄之職業傷害數量，不排除死亡事件  
5.可記錄總工傷事故頻率（TRIR）：(事故數 × 200,000) / 工作總時數。（200,000 指按照每年 50 個星期，每星期 40 個工時計，每 100 名僱員的比率。另外工傷事故不包含上下班通勤期間發生之事故）
6.職業病數：可記錄的職業病案件數量。職業病系指因工作條件或實務作為所造成或加據的急性、復發性、慢性健康問題。包括但不限於 (1)重複性作業等促發肌肉骨骼疾病。(2)皮膚系統、呼吸系統疾病。(3)惡性癌症 (4)由物理因素引起的疾病(如噪音誘發的聽力受損、振動引起的疾病) (5) 精神疾病
7.職業病率(ODR)	職業病率(ODR)：(總職業病件數/總經歷工時) X 1,000,000，小數點第3位無條件捨去。
8.損工日數率(LDR)：損失日數比例(LDR) ＝(總失能傷害損失天數/ 總經歷工時) X 1,000,000，小數第3位無條件。
損工日數：指暫時全失能、永久部分失能、永久全失能及死亡所造成之損失日數總和。
9.失能傷害頻率(FR)：發生失能傷害的總人次數×(10^6)/工作總工時
10.失能傷害嚴重率(SR)：(工作傷害損失總日數×(10^6) / 工作總工時</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總工時</w:t>
            </w:r>
          </w:p>
        </w:tc>
        <w:tc>
          <w:tcPr>
            <w:tcW w:w="1800" w:type="dxa"/>
            <w:noWrap/>
          </w:tcPr>
          <w:p>
            <w:pPr>
              <w:jc w:val="center"/>
              <w:spacing w:line="240" w:lineRule="auto"/>
            </w:pPr>
            <w:r>
              <w:rPr>
                <w:sz w:val="24"/>
                <w:szCs w:val="24"/>
                <w:b w:val="1"/>
                <w:bCs w:val="1"/>
              </w:rPr>
              <w:t xml:space="preserve">缺勤率(AR)</w:t>
            </w:r>
          </w:p>
        </w:tc>
        <w:tc>
          <w:tcPr>
            <w:tcW w:w="1800" w:type="dxa"/>
            <w:noWrap/>
          </w:tcPr>
          <w:p>
            <w:pPr>
              <w:jc w:val="center"/>
              <w:spacing w:line="240" w:lineRule="auto"/>
            </w:pPr>
            <w:r>
              <w:rPr>
                <w:sz w:val="24"/>
                <w:szCs w:val="24"/>
                <w:b w:val="1"/>
                <w:bCs w:val="1"/>
              </w:rPr>
              <w:t xml:space="preserve">職業傷害造成死亡比率</w:t>
            </w:r>
          </w:p>
        </w:tc>
        <w:tc>
          <w:tcPr>
            <w:tcW w:w="1800" w:type="dxa"/>
            <w:noWrap/>
          </w:tcPr>
          <w:p>
            <w:pPr>
              <w:jc w:val="center"/>
              <w:spacing w:line="240" w:lineRule="auto"/>
            </w:pPr>
            <w:r>
              <w:rPr>
                <w:sz w:val="24"/>
                <w:szCs w:val="24"/>
                <w:b w:val="1"/>
                <w:bCs w:val="1"/>
              </w:rPr>
              <w:t xml:space="preserve">可記錄總工傷事故數量</w:t>
            </w:r>
          </w:p>
        </w:tc>
        <w:tc>
          <w:tcPr>
            <w:tcW w:w="1800" w:type="dxa"/>
            <w:noWrap/>
          </w:tcPr>
          <w:p>
            <w:pPr>
              <w:jc w:val="center"/>
              <w:spacing w:line="240" w:lineRule="auto"/>
            </w:pPr>
            <w:r>
              <w:rPr>
                <w:sz w:val="24"/>
                <w:szCs w:val="24"/>
                <w:b w:val="1"/>
                <w:bCs w:val="1"/>
              </w:rPr>
              <w:t xml:space="preserve">可記錄總工傷事故頻率（TRIR）</w:t>
            </w:r>
          </w:p>
        </w:tc>
        <w:tc>
          <w:tcPr>
            <w:tcW w:w="1800" w:type="dxa"/>
            <w:noWrap/>
          </w:tcPr>
          <w:p>
            <w:pPr>
              <w:jc w:val="center"/>
              <w:spacing w:line="240" w:lineRule="auto"/>
            </w:pPr>
            <w:r>
              <w:rPr>
                <w:sz w:val="24"/>
                <w:szCs w:val="24"/>
                <w:b w:val="1"/>
                <w:bCs w:val="1"/>
              </w:rPr>
              <w:t xml:space="preserve">職業病數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待統計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職業病率(ODR)</w:t>
            </w:r>
          </w:p>
        </w:tc>
        <w:tc>
          <w:tcPr>
            <w:tcW w:w="1800" w:type="dxa"/>
            <w:noWrap/>
          </w:tcPr>
          <w:p>
            <w:pPr>
              <w:jc w:val="center"/>
              <w:spacing w:line="240" w:lineRule="auto"/>
            </w:pPr>
            <w:r>
              <w:rPr>
                <w:sz w:val="24"/>
                <w:szCs w:val="24"/>
                <w:b w:val="1"/>
                <w:bCs w:val="1"/>
              </w:rPr>
              <w:t xml:space="preserve">損工日數率(LDR)</w:t>
            </w:r>
          </w:p>
        </w:tc>
        <w:tc>
          <w:tcPr>
            <w:tcW w:w="1800" w:type="dxa"/>
            <w:noWrap/>
          </w:tcPr>
          <w:p>
            <w:pPr>
              <w:jc w:val="center"/>
              <w:spacing w:line="240" w:lineRule="auto"/>
            </w:pPr>
            <w:r>
              <w:rPr>
                <w:sz w:val="24"/>
                <w:szCs w:val="24"/>
                <w:b w:val="1"/>
                <w:bCs w:val="1"/>
              </w:rPr>
              <w:t xml:space="preserve">失能傷害頻率(FR)</w:t>
            </w:r>
          </w:p>
        </w:tc>
        <w:tc>
          <w:tcPr>
            <w:tcW w:w="1800" w:type="dxa"/>
            <w:noWrap/>
          </w:tcPr>
          <w:p>
            <w:pPr>
              <w:jc w:val="center"/>
              <w:spacing w:line="240" w:lineRule="auto"/>
            </w:pPr>
            <w:r>
              <w:rPr>
                <w:sz w:val="24"/>
                <w:szCs w:val="24"/>
                <w:b w:val="1"/>
                <w:bCs w:val="1"/>
              </w:rPr>
              <w:t xml:space="preserve">失能傷害嚴重率(SR)</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(2/11 Amelia補充: 東莞工傷完整資料在HR單位，包含工傷總件數與類型、失能件數、損工日數需和東莞HR蒐集資料，預計文稿校閱階段一併詢問)</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請提供您所在據點的2025年失能傷害統計整體敘述(GRI 403-9)(GRI 403-10)
2025年職災計有__件，損失__天，較2024年(職災__件，損失__天)偏高/低，傷害類型為跌傷__件、割傷__件、碰傷__件及壓傷__件，受傷人數__人(占2025年底員工總人數____人之__%)。</w:t>
      </w:r>
    </w:p>
    <w:p>
      <w:pPr>
        <w:spacing w:line="240" w:lineRule="auto"/>
      </w:pPr>
      <w:r>
        <w:rPr>
          <w:sz w:val="22"/>
          <w:szCs w:val="22"/>
        </w:rPr>
        <w:t xml:space="preserve">請複製題目，填入數字</w:t>
      </w:r>
    </w:p>
    <w:p>
      <w:pPr>
        <w:spacing w:line="240" w:lineRule="auto"/>
      </w:pPr>
      <w:r>
        <w:rPr/>
        <w:t xml:space="preserve">答案：請HR提供</w:t>
      </w:r>
    </w:p>
    <w:p>
      <w:pPr/>
      <w:r>
        <w:rPr/>
        <w:t xml:space="preserve"/>
      </w:r>
    </w:p>
    <w:p>
      <w:pPr>
        <w:spacing w:line="240" w:lineRule="auto"/>
      </w:pPr>
      <w:r>
        <w:rPr>
          <w:sz w:val="28"/>
          <w:szCs w:val="28"/>
          <w:b w:val="1"/>
          <w:bCs w:val="1"/>
          <w:u w:val="single"/>
        </w:rPr>
        <w:t xml:space="preserve">請填寫失能傷害定義與發生件數、損失天數至下表(GRI 403-9)(GRI 403-10)</w:t>
      </w:r>
    </w:p>
    <w:p>
      <w:pPr>
        <w:spacing w:line="240" w:lineRule="auto"/>
      </w:pPr>
      <w:r>
        <w:rPr>
          <w:sz w:val="22"/>
          <w:szCs w:val="22"/>
        </w:rPr>
        <w:t xml:space="preserve">註：不含員工上下班交通事故。
定義：
1.死亡：因職業災害致使工作者喪失生命，不論罹災至死亡時間之長短。以損失6,000日計
2.永久全失能：除死亡外之任何足使罹災者造成永久全失能，或在一次事故中損失下列各項之一，或失去其機能者：1.雙目。2.一隻眼睛及一隻手，或手臂或腿或足。3.不同肢中之任何下列兩種：手、臂、足或腿。以損失6,000日計。
3.永久部分失能：除死亡及永久全失能以外之任何足以造成肢體之任何一部分完全失去，或失去其機能者。不論該受傷之肢體或損傷身體機能之事前有無任何失能。
4.暫時全失能：罹災人未死亡，亦未永久失能。但不能繼續其正常工作，必須休班離開工作場所，損失時間在一日(含)以上(包括：國定假日、例休假日或停工日)，暫時不能恢復工作者。</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死亡-發生件數</w:t>
            </w:r>
          </w:p>
        </w:tc>
        <w:tc>
          <w:tcPr>
            <w:tcW w:w="1800" w:type="dxa"/>
            <w:noWrap/>
          </w:tcPr>
          <w:p>
            <w:pPr>
              <w:jc w:val="center"/>
              <w:spacing w:line="240" w:lineRule="auto"/>
            </w:pPr>
            <w:r>
              <w:rPr>
                <w:sz w:val="24"/>
                <w:szCs w:val="24"/>
                <w:b w:val="1"/>
                <w:bCs w:val="1"/>
              </w:rPr>
              <w:t xml:space="preserve">死亡-損失天數</w:t>
            </w:r>
          </w:p>
        </w:tc>
        <w:tc>
          <w:tcPr>
            <w:tcW w:w="1800" w:type="dxa"/>
            <w:noWrap/>
          </w:tcPr>
          <w:p>
            <w:pPr>
              <w:jc w:val="center"/>
              <w:spacing w:line="240" w:lineRule="auto"/>
            </w:pPr>
            <w:r>
              <w:rPr>
                <w:sz w:val="24"/>
                <w:szCs w:val="24"/>
                <w:b w:val="1"/>
                <w:bCs w:val="1"/>
              </w:rPr>
              <w:t xml:space="preserve">永久全失能-發生件數</w:t>
            </w:r>
          </w:p>
        </w:tc>
        <w:tc>
          <w:tcPr>
            <w:tcW w:w="1800" w:type="dxa"/>
            <w:noWrap/>
          </w:tcPr>
          <w:p>
            <w:pPr>
              <w:jc w:val="center"/>
              <w:spacing w:line="240" w:lineRule="auto"/>
            </w:pPr>
            <w:r>
              <w:rPr>
                <w:sz w:val="24"/>
                <w:szCs w:val="24"/>
                <w:b w:val="1"/>
                <w:bCs w:val="1"/>
              </w:rPr>
              <w:t xml:space="preserve">永久全失能-損失天數</w:t>
            </w:r>
          </w:p>
        </w:tc>
        <w:tc>
          <w:tcPr>
            <w:tcW w:w="1800" w:type="dxa"/>
            <w:noWrap/>
          </w:tcPr>
          <w:p>
            <w:pPr>
              <w:jc w:val="center"/>
              <w:spacing w:line="240" w:lineRule="auto"/>
            </w:pPr>
            <w:r>
              <w:rPr>
                <w:sz w:val="24"/>
                <w:szCs w:val="24"/>
                <w:b w:val="1"/>
                <w:bCs w:val="1"/>
              </w:rPr>
              <w:t xml:space="preserve">永久部分失能-發生件數</w:t>
            </w:r>
          </w:p>
        </w:tc>
      </w:tr>
      <w:tr>
        <w:trPr/>
        <w:tc>
          <w:tcPr>
            <w:tcW w:w="1800" w:type="dxa"/>
            <w:noWrap/>
          </w:tcPr>
          <w:p>
            <w:pPr>
              <w:jc w:val="center"/>
              <w:spacing w:line="240" w:lineRule="auto"/>
            </w:pPr>
            <w:r>
              <w:rPr/>
              <w:t xml:space="preserve">請HR提供</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請HR提供</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永久部分失能-損失天數</w:t>
            </w:r>
          </w:p>
        </w:tc>
        <w:tc>
          <w:tcPr>
            <w:tcW w:w="1800" w:type="dxa"/>
            <w:noWrap/>
          </w:tcPr>
          <w:p>
            <w:pPr>
              <w:jc w:val="center"/>
              <w:spacing w:line="240" w:lineRule="auto"/>
            </w:pPr>
            <w:r>
              <w:rPr>
                <w:sz w:val="24"/>
                <w:szCs w:val="24"/>
                <w:b w:val="1"/>
                <w:bCs w:val="1"/>
              </w:rPr>
              <w:t xml:space="preserve">暫時全失能-發生件數</w:t>
            </w:r>
          </w:p>
        </w:tc>
        <w:tc>
          <w:tcPr>
            <w:tcW w:w="1800" w:type="dxa"/>
            <w:noWrap/>
          </w:tcPr>
          <w:p>
            <w:pPr>
              <w:jc w:val="center"/>
              <w:spacing w:line="240" w:lineRule="auto"/>
            </w:pPr>
            <w:r>
              <w:rPr>
                <w:sz w:val="24"/>
                <w:szCs w:val="24"/>
                <w:b w:val="1"/>
                <w:bCs w:val="1"/>
              </w:rPr>
              <w:t xml:space="preserve">暫時全失能-損失天數</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6.4.5 推行健康服務與促進活動，減少健康風險</w:t>
      </w:r>
    </w:p>
    <w:p>
      <w:pPr/>
      <w:r>
        <w:rPr/>
        <w:t xml:space="preserve"/>
      </w:r>
    </w:p>
    <w:p>
      <w:pPr>
        <w:spacing w:line="240" w:lineRule="auto"/>
      </w:pPr>
      <w:r>
        <w:rPr>
          <w:sz w:val="28"/>
          <w:szCs w:val="28"/>
          <w:b w:val="1"/>
          <w:bCs w:val="1"/>
          <w:u w:val="single"/>
        </w:rPr>
        <w:t xml:space="preserve">推行健康服務與促進活動，減少健康風險 (GRI 403-3) (GRI 403-6)
請填寫體格檢查及健康檢查結果至下表</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總公司(台北)-頻率</w:t>
            </w:r>
          </w:p>
        </w:tc>
        <w:tc>
          <w:tcPr>
            <w:tcW w:w="1800" w:type="dxa"/>
            <w:noWrap/>
          </w:tcPr>
          <w:p>
            <w:pPr>
              <w:jc w:val="center"/>
              <w:spacing w:line="240" w:lineRule="auto"/>
            </w:pPr>
            <w:r>
              <w:rPr>
                <w:sz w:val="24"/>
                <w:szCs w:val="24"/>
                <w:b w:val="1"/>
                <w:bCs w:val="1"/>
              </w:rPr>
              <w:t xml:space="preserve">總公司(台北)-受檢人數</w:t>
            </w:r>
          </w:p>
        </w:tc>
        <w:tc>
          <w:tcPr>
            <w:tcW w:w="1800" w:type="dxa"/>
            <w:noWrap/>
          </w:tcPr>
          <w:p>
            <w:pPr>
              <w:jc w:val="center"/>
              <w:spacing w:line="240" w:lineRule="auto"/>
            </w:pPr>
            <w:r>
              <w:rPr>
                <w:sz w:val="24"/>
                <w:szCs w:val="24"/>
                <w:b w:val="1"/>
                <w:bCs w:val="1"/>
              </w:rPr>
              <w:t xml:space="preserve">總公司(台北)-項目是否優於當地法規</w:t>
            </w:r>
          </w:p>
        </w:tc>
        <w:tc>
          <w:tcPr>
            <w:tcW w:w="1800" w:type="dxa"/>
            <w:noWrap/>
          </w:tcPr>
          <w:p>
            <w:pPr>
              <w:jc w:val="center"/>
              <w:spacing w:line="240" w:lineRule="auto"/>
            </w:pPr>
            <w:r>
              <w:rPr>
                <w:sz w:val="24"/>
                <w:szCs w:val="24"/>
                <w:b w:val="1"/>
                <w:bCs w:val="1"/>
              </w:rPr>
              <w:t xml:space="preserve">台中-頻率</w:t>
            </w:r>
          </w:p>
        </w:tc>
        <w:tc>
          <w:tcPr>
            <w:tcW w:w="1800" w:type="dxa"/>
            <w:noWrap/>
          </w:tcPr>
          <w:p>
            <w:pPr>
              <w:jc w:val="center"/>
              <w:spacing w:line="240" w:lineRule="auto"/>
            </w:pPr>
            <w:r>
              <w:rPr>
                <w:sz w:val="24"/>
                <w:szCs w:val="24"/>
                <w:b w:val="1"/>
                <w:bCs w:val="1"/>
              </w:rPr>
              <w:t xml:space="preserve">台中-受檢人數</w:t>
            </w:r>
          </w:p>
        </w:tc>
        <w:tc>
          <w:tcPr>
            <w:tcW w:w="1800" w:type="dxa"/>
            <w:noWrap/>
          </w:tcPr>
          <w:p>
            <w:pPr>
              <w:jc w:val="center"/>
              <w:spacing w:line="240" w:lineRule="auto"/>
            </w:pPr>
            <w:r>
              <w:rPr>
                <w:sz w:val="24"/>
                <w:szCs w:val="24"/>
                <w:b w:val="1"/>
                <w:bCs w:val="1"/>
              </w:rPr>
              <w:t xml:space="preserve">台中-項目是否優於當地法規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東莞 TMC-頻率</w:t>
            </w:r>
          </w:p>
        </w:tc>
        <w:tc>
          <w:tcPr>
            <w:tcW w:w="1800" w:type="dxa"/>
            <w:noWrap/>
          </w:tcPr>
          <w:p>
            <w:pPr>
              <w:jc w:val="center"/>
              <w:spacing w:line="240" w:lineRule="auto"/>
            </w:pPr>
            <w:r>
              <w:rPr>
                <w:sz w:val="24"/>
                <w:szCs w:val="24"/>
                <w:b w:val="1"/>
                <w:bCs w:val="1"/>
              </w:rPr>
              <w:t xml:space="preserve">東莞 TMC-受檢人數</w:t>
            </w:r>
          </w:p>
        </w:tc>
        <w:tc>
          <w:tcPr>
            <w:tcW w:w="1800" w:type="dxa"/>
            <w:noWrap/>
          </w:tcPr>
          <w:p>
            <w:pPr>
              <w:jc w:val="center"/>
              <w:spacing w:line="240" w:lineRule="auto"/>
            </w:pPr>
            <w:r>
              <w:rPr>
                <w:sz w:val="24"/>
                <w:szCs w:val="24"/>
                <w:b w:val="1"/>
                <w:bCs w:val="1"/>
              </w:rPr>
              <w:t xml:space="preserve">東莞 TMC-項目是否優於當地法規</w:t>
            </w:r>
          </w:p>
        </w:tc>
        <w:tc>
          <w:tcPr>
            <w:tcW w:w="1800" w:type="dxa"/>
            <w:noWrap/>
          </w:tcPr>
          <w:p>
            <w:pPr>
              <w:jc w:val="center"/>
              <w:spacing w:line="240" w:lineRule="auto"/>
            </w:pPr>
            <w:r>
              <w:rPr>
                <w:sz w:val="24"/>
                <w:szCs w:val="24"/>
                <w:b w:val="1"/>
                <w:bCs w:val="1"/>
              </w:rPr>
              <w:t xml:space="preserve">法國 TME-頻率</w:t>
            </w:r>
          </w:p>
        </w:tc>
        <w:tc>
          <w:tcPr>
            <w:tcW w:w="1800" w:type="dxa"/>
            <w:noWrap/>
          </w:tcPr>
          <w:p>
            <w:pPr>
              <w:jc w:val="center"/>
              <w:spacing w:line="240" w:lineRule="auto"/>
            </w:pPr>
            <w:r>
              <w:rPr>
                <w:sz w:val="24"/>
                <w:szCs w:val="24"/>
                <w:b w:val="1"/>
                <w:bCs w:val="1"/>
              </w:rPr>
              <w:t xml:space="preserve">法國 TME-受檢人數</w:t>
            </w:r>
          </w:p>
        </w:tc>
        <w:tc>
          <w:tcPr>
            <w:tcW w:w="1800" w:type="dxa"/>
            <w:noWrap/>
          </w:tcPr>
          <w:p>
            <w:pPr>
              <w:jc w:val="center"/>
              <w:spacing w:line="240" w:lineRule="auto"/>
            </w:pPr>
            <w:r>
              <w:rPr>
                <w:sz w:val="24"/>
                <w:szCs w:val="24"/>
                <w:b w:val="1"/>
                <w:bCs w:val="1"/>
              </w:rPr>
              <w:t xml:space="preserve">法國 TME-項目是否優於當地法規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每人入職時進行一次入職體檢。</w:t>
            </w:r>
          </w:p>
        </w:tc>
        <w:tc>
          <w:tcPr>
            <w:tcW w:w="1800" w:type="dxa"/>
            <w:noWrap/>
          </w:tcPr>
          <w:p>
            <w:pPr>
              <w:jc w:val="center"/>
              <w:spacing w:line="240" w:lineRule="auto"/>
            </w:pPr>
            <w:r>
              <w:rPr/>
              <w:t xml:space="preserve">1204</w:t>
            </w:r>
          </w:p>
        </w:tc>
        <w:tc>
          <w:tcPr>
            <w:tcW w:w="1800" w:type="dxa"/>
            <w:noWrap/>
          </w:tcPr>
          <w:p>
            <w:pPr>
              <w:jc w:val="center"/>
              <w:spacing w:line="240" w:lineRule="auto"/>
            </w:pPr>
            <w:r>
              <w:rPr/>
              <w:t xml:space="preserve">是</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澳洲 TMA-頻率</w:t>
            </w:r>
          </w:p>
        </w:tc>
        <w:tc>
          <w:tcPr>
            <w:tcW w:w="1800" w:type="dxa"/>
            <w:noWrap/>
          </w:tcPr>
          <w:p>
            <w:pPr>
              <w:jc w:val="center"/>
              <w:spacing w:line="240" w:lineRule="auto"/>
            </w:pPr>
            <w:r>
              <w:rPr>
                <w:sz w:val="24"/>
                <w:szCs w:val="24"/>
                <w:b w:val="1"/>
                <w:bCs w:val="1"/>
              </w:rPr>
              <w:t xml:space="preserve">澳洲 TMA-受檢人數</w:t>
            </w:r>
          </w:p>
        </w:tc>
        <w:tc>
          <w:tcPr>
            <w:tcW w:w="1800" w:type="dxa"/>
            <w:noWrap/>
          </w:tcPr>
          <w:p>
            <w:pPr>
              <w:jc w:val="center"/>
              <w:spacing w:line="240" w:lineRule="auto"/>
            </w:pPr>
            <w:r>
              <w:rPr>
                <w:sz w:val="24"/>
                <w:szCs w:val="24"/>
                <w:b w:val="1"/>
                <w:bCs w:val="1"/>
              </w:rPr>
              <w:t xml:space="preserve">澳洲 TMA-項目是否優於當地法規</w:t>
            </w:r>
          </w:p>
        </w:tc>
        <w:tc>
          <w:tcPr>
            <w:tcW w:w="1800" w:type="dxa"/>
            <w:noWrap/>
          </w:tcPr>
          <w:p>
            <w:pPr>
              <w:jc w:val="center"/>
              <w:spacing w:line="240" w:lineRule="auto"/>
            </w:pPr>
            <w:r>
              <w:rPr>
                <w:sz w:val="24"/>
                <w:szCs w:val="24"/>
                <w:b w:val="1"/>
                <w:bCs w:val="1"/>
              </w:rPr>
              <w:t xml:space="preserve">美國 TMU-頻率</w:t>
            </w:r>
          </w:p>
        </w:tc>
        <w:tc>
          <w:tcPr>
            <w:tcW w:w="1800" w:type="dxa"/>
            <w:noWrap/>
          </w:tcPr>
          <w:p>
            <w:pPr>
              <w:jc w:val="center"/>
              <w:spacing w:line="240" w:lineRule="auto"/>
            </w:pPr>
            <w:r>
              <w:rPr>
                <w:sz w:val="24"/>
                <w:szCs w:val="24"/>
                <w:b w:val="1"/>
                <w:bCs w:val="1"/>
              </w:rPr>
              <w:t xml:space="preserve">美國 TMU-受檢人數</w:t>
            </w:r>
          </w:p>
        </w:tc>
        <w:tc>
          <w:tcPr>
            <w:tcW w:w="1800" w:type="dxa"/>
            <w:noWrap/>
          </w:tcPr>
          <w:p>
            <w:pPr>
              <w:jc w:val="center"/>
              <w:spacing w:line="240" w:lineRule="auto"/>
            </w:pPr>
            <w:r>
              <w:rPr>
                <w:sz w:val="24"/>
                <w:szCs w:val="24"/>
                <w:b w:val="1"/>
                <w:bCs w:val="1"/>
              </w:rPr>
              <w:t xml:space="preserve">美國 TMU-項目是否優於當地法規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日本 TMJ-頻率</w:t>
            </w:r>
          </w:p>
        </w:tc>
        <w:tc>
          <w:tcPr>
            <w:tcW w:w="1800" w:type="dxa"/>
            <w:noWrap/>
          </w:tcPr>
          <w:p>
            <w:pPr>
              <w:jc w:val="center"/>
              <w:spacing w:line="240" w:lineRule="auto"/>
            </w:pPr>
            <w:r>
              <w:rPr>
                <w:sz w:val="24"/>
                <w:szCs w:val="24"/>
                <w:b w:val="1"/>
                <w:bCs w:val="1"/>
              </w:rPr>
              <w:t xml:space="preserve">日本 TMJ-受檢人數</w:t>
            </w:r>
          </w:p>
        </w:tc>
        <w:tc>
          <w:tcPr>
            <w:tcW w:w="1800" w:type="dxa"/>
            <w:noWrap/>
          </w:tcPr>
          <w:p>
            <w:pPr>
              <w:jc w:val="center"/>
              <w:spacing w:line="240" w:lineRule="auto"/>
            </w:pPr>
            <w:r>
              <w:rPr>
                <w:sz w:val="24"/>
                <w:szCs w:val="24"/>
                <w:b w:val="1"/>
                <w:bCs w:val="1"/>
              </w:rPr>
              <w:t xml:space="preserve">日本 TMJ-項目是否優於當地法規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請說明所在據點有無「資深員工健檢」、「高階主管健檢」，如有請說明：(1)受檢對象/資格
(2)頻率
(3)受檢項目
(4)受檢人數</w:t>
      </w:r>
    </w:p>
    <w:p>
      <w:pPr>
        <w:spacing w:line="240" w:lineRule="auto"/>
      </w:pPr>
      <w:r>
        <w:rPr/>
        <w:t xml:space="preserve">答案：無</w:t>
      </w:r>
    </w:p>
    <w:p>
      <w:pPr/>
      <w:r>
        <w:rPr/>
        <w:t xml:space="preserve"/>
      </w:r>
    </w:p>
    <w:p>
      <w:pPr>
        <w:spacing w:line="240" w:lineRule="auto"/>
      </w:pPr>
      <w:r>
        <w:rPr>
          <w:sz w:val="28"/>
          <w:szCs w:val="28"/>
          <w:b w:val="1"/>
          <w:bCs w:val="1"/>
          <w:u w:val="single"/>
        </w:rPr>
        <w:t xml:space="preserve">請填寫臨場服務實施次數至下表</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醫師臨場服務次數</w:t>
            </w:r>
          </w:p>
        </w:tc>
        <w:tc>
          <w:tcPr>
            <w:tcW w:w="1800" w:type="dxa"/>
            <w:noWrap/>
          </w:tcPr>
          <w:p>
            <w:pPr>
              <w:jc w:val="center"/>
              <w:spacing w:line="240" w:lineRule="auto"/>
            </w:pPr>
            <w:r>
              <w:rPr>
                <w:sz w:val="24"/>
                <w:szCs w:val="24"/>
                <w:b w:val="1"/>
                <w:bCs w:val="1"/>
              </w:rPr>
              <w:t xml:space="preserve">護理師臨場服務次數</w:t>
            </w:r>
          </w:p>
        </w:tc>
        <w:tc>
          <w:tcPr>
            <w:tcW w:w="1800" w:type="dxa"/>
            <w:noWrap/>
          </w:tcPr>
          <w:p>
            <w:pPr>
              <w:jc w:val="center"/>
              <w:spacing w:line="240" w:lineRule="auto"/>
            </w:pPr>
            <w:r>
              <w:rPr>
                <w:sz w:val="24"/>
                <w:szCs w:val="24"/>
                <w:b w:val="1"/>
                <w:bCs w:val="1"/>
              </w:rPr>
              <w:t xml:space="preserve">參加衛教活動員工總數</w:t>
            </w:r>
          </w:p>
        </w:tc>
        <w:tc>
          <w:tcPr>
            <w:tcW w:w="1800" w:type="dxa"/>
            <w:noWrap/>
          </w:tcPr>
          <w:p>
            <w:pPr>
              <w:jc w:val="center"/>
              <w:spacing w:line="240" w:lineRule="auto"/>
            </w:pPr>
            <w:r>
              <w:rPr>
                <w:sz w:val="24"/>
                <w:szCs w:val="24"/>
                <w:b w:val="1"/>
                <w:bCs w:val="1"/>
              </w:rPr>
              <w:t xml:space="preserve">接受面談指導員工總數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2025年健康保護四大計畫實施結果-1 (母性健康保護)</w:t>
      </w:r>
    </w:p>
    <w:p>
      <w:pPr>
        <w:spacing w:line="240" w:lineRule="auto"/>
      </w:pPr>
      <w:r>
        <w:rPr>
          <w:sz w:val="22"/>
          <w:szCs w:val="22"/>
        </w:rPr>
        <w:t xml:space="preserve">說明：
母性健康保護：為保障女性勞工在妊娠期、分娩後一年內的健康，針對其工作環境和內容所採取的風險評估與調適措施，以預防工作危害對母體及胎(嬰)兒造成不良影響</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妊娠中(人數)</w:t>
            </w:r>
          </w:p>
        </w:tc>
        <w:tc>
          <w:tcPr>
            <w:tcW w:w="1800" w:type="dxa"/>
            <w:noWrap/>
          </w:tcPr>
          <w:p>
            <w:pPr>
              <w:jc w:val="center"/>
              <w:spacing w:line="240" w:lineRule="auto"/>
            </w:pPr>
            <w:r>
              <w:rPr>
                <w:sz w:val="24"/>
                <w:szCs w:val="24"/>
                <w:b w:val="1"/>
                <w:bCs w:val="1"/>
              </w:rPr>
              <w:t xml:space="preserve">分娩後1年內 (人數)</w:t>
            </w:r>
          </w:p>
        </w:tc>
        <w:tc>
          <w:tcPr>
            <w:tcW w:w="1800" w:type="dxa"/>
            <w:noWrap/>
          </w:tcPr>
          <w:p>
            <w:pPr>
              <w:jc w:val="center"/>
              <w:spacing w:line="240" w:lineRule="auto"/>
            </w:pPr>
            <w:r>
              <w:rPr>
                <w:sz w:val="24"/>
                <w:szCs w:val="24"/>
                <w:b w:val="1"/>
                <w:bCs w:val="1"/>
              </w:rPr>
              <w:t xml:space="preserve">分娩滿1年後仍以母乳哺乳者(人數)</w:t>
            </w:r>
          </w:p>
        </w:tc>
      </w:tr>
      <w:tr>
        <w:trPr/>
        <w:tc>
          <w:tcPr>
            <w:tcW w:w="1800" w:type="dxa"/>
            <w:noWrap/>
          </w:tcPr>
          <w:p>
            <w:pPr>
              <w:jc w:val="center"/>
              <w:spacing w:line="240" w:lineRule="auto"/>
            </w:pPr>
            <w:r>
              <w:rPr>
                <w:sz w:val="24"/>
                <w:szCs w:val="24"/>
                <w:b w:val="1"/>
                <w:bCs w:val="1"/>
              </w:rPr>
              <w:t xml:space="preserve">總公司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HR提供</w:t>
            </w:r>
          </w:p>
        </w:tc>
        <w:tc>
          <w:tcPr>
            <w:tcW w:w="1800" w:type="dxa"/>
            <w:noWrap/>
          </w:tcPr>
          <w:p>
            <w:pPr>
              <w:jc w:val="center"/>
              <w:spacing w:line="240" w:lineRule="auto"/>
            </w:pPr>
            <w:r>
              <w:rPr/>
              <w:t xml:space="preserve">HR提供</w:t>
            </w:r>
          </w:p>
        </w:tc>
        <w:tc>
          <w:tcPr>
            <w:tcW w:w="1800" w:type="dxa"/>
            <w:noWrap/>
          </w:tcPr>
          <w:p>
            <w:pPr>
              <w:jc w:val="center"/>
              <w:spacing w:line="240" w:lineRule="auto"/>
            </w:pPr>
            <w:r>
              <w:rPr/>
              <w:t xml:space="preserve">HR提供</w:t>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2025年健康保護四大計畫實施結果-2</w:t>
      </w:r>
    </w:p>
    <w:p>
      <w:pPr>
        <w:spacing w:line="240" w:lineRule="auto"/>
      </w:pPr>
      <w:r>
        <w:rPr>
          <w:sz w:val="22"/>
          <w:szCs w:val="22"/>
        </w:rPr>
        <w:t xml:space="preserve">說明：
1.異常工作負荷：勞工因輪班、夜間工作、長時間工作等異常工作負荷促發疾病
2.人因工程改善：為避免肌肉骨骼傷病(人因危害)所進行的改善方案等。
3.職業不法侵害：勞工因執行職務，於勞動場所遭受雇主、主管、同事、服務對象或其他第三方，以言語、文字、肢體動作、電子通訊、網際網路或其他方式所為之不當言行，例如職場暴力、職場霸凌、性騷擾或就業歧視等，造成其身體或精神之不法侵害</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異常工作負荷通報件數</w:t>
            </w:r>
          </w:p>
        </w:tc>
        <w:tc>
          <w:tcPr>
            <w:tcW w:w="1800" w:type="dxa"/>
            <w:noWrap/>
          </w:tcPr>
          <w:p>
            <w:pPr>
              <w:jc w:val="center"/>
              <w:spacing w:line="240" w:lineRule="auto"/>
            </w:pPr>
            <w:r>
              <w:rPr>
                <w:sz w:val="24"/>
                <w:szCs w:val="24"/>
                <w:b w:val="1"/>
                <w:bCs w:val="1"/>
              </w:rPr>
              <w:t xml:space="preserve">人因工程改善件數</w:t>
            </w:r>
          </w:p>
        </w:tc>
        <w:tc>
          <w:tcPr>
            <w:tcW w:w="1800" w:type="dxa"/>
            <w:noWrap/>
          </w:tcPr>
          <w:p>
            <w:pPr>
              <w:jc w:val="center"/>
              <w:spacing w:line="240" w:lineRule="auto"/>
            </w:pPr>
            <w:r>
              <w:rPr>
                <w:sz w:val="24"/>
                <w:szCs w:val="24"/>
                <w:b w:val="1"/>
                <w:bCs w:val="1"/>
              </w:rPr>
              <w:t xml:space="preserve">職場不法侵害申訴件數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未統計，無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6.4.6 環境測定/機具設備、管制化學管理</w:t>
      </w:r>
    </w:p>
    <w:p>
      <w:pPr/>
      <w:r>
        <w:rPr/>
        <w:t xml:space="preserve"/>
      </w:r>
    </w:p>
    <w:p>
      <w:pPr>
        <w:spacing w:line="240" w:lineRule="auto"/>
      </w:pPr>
      <w:r>
        <w:rPr>
          <w:sz w:val="28"/>
          <w:szCs w:val="28"/>
          <w:b w:val="1"/>
          <w:bCs w:val="1"/>
          <w:u w:val="single"/>
        </w:rPr>
        <w:t xml:space="preserve">請說明貴公司對於員工與非員工 ( 於減少暴露於長期/ 慢性 ) 的健康風險的評估、監測的方式。</w:t>
      </w:r>
    </w:p>
    <w:p>
      <w:pPr>
        <w:spacing w:line="240" w:lineRule="auto"/>
      </w:pPr>
      <w:r>
        <w:rPr/>
        <w:t xml:space="preserve">答案：環安專員建立《危害作業風險評估表》識別危害作業崗位、作業風險及建議之防護措施。監測方式：每三年委託有資質機構進行一次勞工作業環境監測。</w:t>
      </w:r>
    </w:p>
    <w:p>
      <w:pPr/>
      <w:r>
        <w:rPr/>
        <w:t xml:space="preserve"/>
      </w:r>
    </w:p>
    <w:p>
      <w:pPr>
        <w:spacing w:line="240" w:lineRule="auto"/>
      </w:pPr>
      <w:r>
        <w:rPr>
          <w:sz w:val="28"/>
          <w:szCs w:val="28"/>
          <w:b w:val="1"/>
          <w:bCs w:val="1"/>
          <w:u w:val="single"/>
        </w:rPr>
        <w:t xml:space="preserve">請說明公司/廠區實施作業環境測定項目與次數</w:t>
      </w:r>
    </w:p>
    <w:p>
      <w:pPr>
        <w:spacing w:line="240" w:lineRule="auto"/>
      </w:pPr>
      <w:r>
        <w:rPr>
          <w:sz w:val="22"/>
          <w:szCs w:val="22"/>
        </w:rPr>
        <w:t xml:space="preserve">說明：
依據勞工作業環境監測實施辦法、危害性化學品評估及分級管理辦法之規定，為掌握勞工作業環境實態與評估勞工暴露狀況，所採取之規劃、採樣、測定、分析及評估。
例如：噪音、綜合溫度熱指數(WBGT)、有機化合物、無機化合物、石綿等礦物性纖維、游離二氧化矽等礦物性粉塵、厭惡性粉塵、二氧化碳等。</w:t>
      </w:r>
    </w:p>
    <w:p>
      <w:pPr>
        <w:spacing w:line="240" w:lineRule="auto"/>
      </w:pPr>
      <w:r>
        <w:rPr/>
        <w:t xml:space="preserve">答案：監測方式：每三年委託有資質機構進行一次勞工作業環境監測。</w:t>
      </w:r>
    </w:p>
    <w:p>
      <w:pPr/>
      <w:r>
        <w:rPr/>
        <w:t xml:space="preserve"/>
      </w:r>
    </w:p>
    <w:p>
      <w:pPr>
        <w:spacing w:line="240" w:lineRule="auto"/>
      </w:pPr>
      <w:r>
        <w:rPr>
          <w:sz w:val="28"/>
          <w:szCs w:val="28"/>
          <w:b w:val="1"/>
          <w:bCs w:val="1"/>
          <w:u w:val="single"/>
        </w:rPr>
        <w:t xml:space="preserve">高風險作業須於作業前申請許可及完成相關防護措施後始可作業。
2025年許可件數如下表</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動火</w:t>
            </w:r>
          </w:p>
        </w:tc>
        <w:tc>
          <w:tcPr>
            <w:tcW w:w="1800" w:type="dxa"/>
            <w:noWrap/>
          </w:tcPr>
          <w:p>
            <w:pPr>
              <w:jc w:val="center"/>
              <w:spacing w:line="240" w:lineRule="auto"/>
            </w:pPr>
            <w:r>
              <w:rPr>
                <w:sz w:val="24"/>
                <w:szCs w:val="24"/>
                <w:b w:val="1"/>
                <w:bCs w:val="1"/>
              </w:rPr>
              <w:t xml:space="preserve">高架</w:t>
            </w:r>
          </w:p>
        </w:tc>
        <w:tc>
          <w:tcPr>
            <w:tcW w:w="1800" w:type="dxa"/>
            <w:noWrap/>
          </w:tcPr>
          <w:p>
            <w:pPr>
              <w:jc w:val="center"/>
              <w:spacing w:line="240" w:lineRule="auto"/>
            </w:pPr>
            <w:r>
              <w:rPr>
                <w:sz w:val="24"/>
                <w:szCs w:val="24"/>
                <w:b w:val="1"/>
                <w:bCs w:val="1"/>
              </w:rPr>
              <w:t xml:space="preserve">局限空間</w:t>
            </w:r>
          </w:p>
        </w:tc>
        <w:tc>
          <w:tcPr>
            <w:tcW w:w="1800" w:type="dxa"/>
            <w:noWrap/>
          </w:tcPr>
          <w:p>
            <w:pPr>
              <w:jc w:val="center"/>
              <w:spacing w:line="240" w:lineRule="auto"/>
            </w:pPr>
            <w:r>
              <w:rPr>
                <w:sz w:val="24"/>
                <w:szCs w:val="24"/>
                <w:b w:val="1"/>
                <w:bCs w:val="1"/>
              </w:rPr>
              <w:t xml:space="preserve">危險管路拆卸纘孔</w:t>
            </w:r>
          </w:p>
        </w:tc>
        <w:tc>
          <w:tcPr>
            <w:tcW w:w="1800" w:type="dxa"/>
            <w:noWrap/>
          </w:tcPr>
          <w:p>
            <w:pPr>
              <w:jc w:val="center"/>
              <w:spacing w:line="240" w:lineRule="auto"/>
            </w:pPr>
            <w:r>
              <w:rPr>
                <w:sz w:val="24"/>
                <w:szCs w:val="24"/>
                <w:b w:val="1"/>
                <w:bCs w:val="1"/>
              </w:rPr>
              <w:t xml:space="preserve">其他</w:t>
            </w:r>
          </w:p>
        </w:tc>
      </w:tr>
      <w:tr>
        <w:trPr/>
        <w:tc>
          <w:tcPr>
            <w:tcW w:w="1800" w:type="dxa"/>
            <w:noWrap/>
          </w:tcPr>
          <w:p>
            <w:pPr>
              <w:jc w:val="center"/>
              <w:spacing w:line="240" w:lineRule="auto"/>
            </w:pPr>
            <w:r>
              <w:rPr/>
              <w:t xml:space="preserve">東莞全部廠區</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請說明對機具設備的管理措施，包括機具維護、檢查制度、危害預防與改善流程等</w:t>
      </w:r>
    </w:p>
    <w:p>
      <w:pPr>
        <w:spacing w:line="240" w:lineRule="auto"/>
      </w:pPr>
      <w:r>
        <w:rPr>
          <w:sz w:val="22"/>
          <w:szCs w:val="22"/>
        </w:rPr>
        <w:t xml:space="preserve">說明：
本題是為了解公司如何確保工作場所中使用之機具、設備及作業環境的安全性，如：
1.機具與設備的安全設計、維護、檢查及改善機制
2.是否有針對機具操作人員進行教育訓練或資格管理</w:t>
      </w:r>
    </w:p>
    <w:p>
      <w:pPr>
        <w:spacing w:line="240" w:lineRule="auto"/>
      </w:pPr>
      <w:r>
        <w:rPr/>
        <w:t xml:space="preserve">答案：(2/11 Amelia補充: 內部過年後再確認，請顧問先統整其他題目回應)
已建立《生産設備控制程序》，規定：
1.生產設備的申購、驗收依《固定資產管理規範》進行。設備驗收有設備課主導，對設備功能、安全性能進行核驗，建立《機器設備安全使用操作規程》並對作業人員進行安全作業培訓，以及在設備维护管理系統中設計設備日常點檢保養細則。
2. 設備使用單位副總設備日常點檢動作。如發現故障，第一時間上報並申請維修。
3.設備</w:t>
      </w:r>
    </w:p>
    <w:p>
      <w:pPr/>
      <w:r>
        <w:rPr/>
        <w:t xml:space="preserve"/>
      </w:r>
    </w:p>
    <w:p>
      <w:pPr>
        <w:spacing w:line="240" w:lineRule="auto"/>
      </w:pPr>
      <w:r>
        <w:rPr>
          <w:sz w:val="28"/>
          <w:szCs w:val="28"/>
          <w:b w:val="1"/>
          <w:bCs w:val="1"/>
          <w:u w:val="single"/>
        </w:rPr>
        <w:t xml:space="preserve">請說明如何管制化學品使用
(可參考備註的2024年報告書內容)</w:t>
      </w:r>
    </w:p>
    <w:p>
      <w:pPr>
        <w:spacing w:line="240" w:lineRule="auto"/>
      </w:pPr>
      <w:r>
        <w:rPr>
          <w:sz w:val="22"/>
          <w:szCs w:val="22"/>
        </w:rPr>
        <w:t xml:space="preserve">2024年報告書內容：
東莞廠依照內部職業安全管理辦法，辦理內部稽核，並針對不符合事項進行追蹤改善計畫(節錄)
部分化學品缺失安全數據說明表(MSDS)之改善方案：
1. 環安專員定期檢查化學品使用單位，要求化學品使用現場公佈相關MSDS。
2. 如需購買新化學品，環安專員需提前確認MSDS信息，才能驗收新化學品。
3. 即將過期的MSDS，環安專員提前三個月通知化學品供應商更新MSDS。
</w:t>
      </w:r>
    </w:p>
    <w:p>
      <w:pPr>
        <w:spacing w:line="240" w:lineRule="auto"/>
      </w:pPr>
      <w:r>
        <w:rPr/>
        <w:t xml:space="preserve">答案：(2/11 Amelia補充: 內部過年後再確認，請顧問先統整其他題目回應)
待整理</w:t>
      </w:r>
    </w:p>
    <w:p>
      <w:pPr/>
      <w:r>
        <w:rPr/>
        <w:t xml:space="preserve"/>
      </w:r>
    </w:p>
    <w:p>
      <w:pPr>
        <w:spacing w:line="240" w:lineRule="auto"/>
      </w:pPr>
      <w:r>
        <w:rPr>
          <w:sz w:val="28"/>
          <w:szCs w:val="28"/>
          <w:b w:val="1"/>
          <w:bCs w:val="1"/>
          <w:u w:val="single"/>
        </w:rPr>
        <w:t xml:space="preserve">【東莞廠】請上傳危險化學品八大類別清單至公用區，上傳完成後請勾選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危險化學品八大類別清單</w:t>
            </w:r>
          </w:p>
        </w:tc>
        <w:tc>
          <w:tcPr>
            <w:tcW w:w="1800" w:type="dxa"/>
            <w:noWrap/>
          </w:tcPr>
          <w:p>
            <w:pPr>
              <w:jc w:val="center"/>
              <w:spacing w:line="240" w:lineRule="auto"/>
            </w:pPr>
            <w:r>
              <w:rPr/>
              <w:t xml:space="preserve">未勾選</w:t>
            </w:r>
          </w:p>
        </w:tc>
      </w:tr>
    </w:tbl>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2026-02-11T11:56:40+08:00</dcterms:created>
  <dcterms:modified xsi:type="dcterms:W3CDTF">2026-02-11T11:56:40+08:00</dcterms:modified>
</cp:coreProperties>
</file>

<file path=docProps/custom.xml><?xml version="1.0" encoding="utf-8"?>
<Properties xmlns="http://schemas.openxmlformats.org/officeDocument/2006/custom-properties" xmlns:vt="http://schemas.openxmlformats.org/officeDocument/2006/docPropsVTypes"/>
</file>