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TM-ENV-TMJ</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spacing w:line="240" w:lineRule="auto"/>
      </w:pPr>
      <w:r>
        <w:rPr/>
        <w:t xml:space="preserve">答案：N/A</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spacing w:line="240" w:lineRule="auto"/>
      </w:pPr>
      <w:r>
        <w:rPr/>
        <w:t xml:space="preserve">答案：N/A</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r>
        <w:trPr/>
        <w:tc>
          <w:tcPr>
            <w:tcW w:w="1800" w:type="dxa"/>
            <w:noWrap/>
          </w:tcPr>
          <w:p>
            <w:pPr>
              <w:jc w:val="center"/>
              <w:spacing w:line="240" w:lineRule="auto"/>
            </w:pPr>
            <w:r>
              <w:rPr>
                <w:sz w:val="24"/>
                <w:szCs w:val="24"/>
                <w:b w:val="1"/>
                <w:bCs w:val="1"/>
              </w:rPr>
              <w:t xml:space="preserve">Sale of industrial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General industrial bulky solid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Hazardous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Food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Food waste bins are installed for composting.</w:t>
            </w:r>
          </w:p>
        </w:tc>
      </w:tr>
      <w:tr>
        <w:trPr/>
        <w:tc>
          <w:tcPr>
            <w:tcW w:w="1800" w:type="dxa"/>
            <w:noWrap/>
          </w:tcPr>
          <w:p>
            <w:pPr>
              <w:jc w:val="center"/>
              <w:spacing w:line="240" w:lineRule="auto"/>
            </w:pPr>
            <w:r>
              <w:rPr>
                <w:sz w:val="24"/>
                <w:szCs w:val="24"/>
                <w:b w:val="1"/>
                <w:bCs w:val="1"/>
              </w:rPr>
              <w:t xml:space="preserve">household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Waste is collected by a licensed waste disposal contractor.</w:t>
            </w:r>
          </w:p>
        </w:tc>
      </w:tr>
      <w:tr>
        <w:trPr/>
        <w:tc>
          <w:tcPr>
            <w:tcW w:w="1800" w:type="dxa"/>
            <w:noWrap/>
          </w:tcPr>
          <w:p>
            <w:pPr>
              <w:jc w:val="center"/>
              <w:spacing w:line="240" w:lineRule="auto"/>
            </w:pPr>
            <w:r>
              <w:rPr>
                <w:sz w:val="24"/>
                <w:szCs w:val="24"/>
                <w:b w:val="1"/>
                <w:bCs w:val="1"/>
              </w:rPr>
              <w:t xml:space="preserve">Total solid waste generated</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spacing w:line="240" w:lineRule="auto"/>
      </w:pPr>
      <w:r>
        <w:rPr/>
        <w:t xml:space="preserve">答案：TiMOTION Japan strictly implements waste classification, collection, and management practices. Different categories of waste are stored in designated areas and properly packaged before being handled by qualified external contractors for appropriate treatment.
The main types of waste include:
◆ Recyclable industrial waste, such as packaging materials, metal scrap, and plastics generated during the production process. Materials that cannot be reused internally are collected by licensed waste treatment companies and transported for further sorting and recycling.
(2023: 1911 kg, 2024: 500 kg, 2025: 673 kg 花錢請廠商回收木棧板)
◆ Non-recyclable industrial waste and general household waste are entrusted to authorized waste management contractors for treatment, which typically includes landfill disposal or incineration in compliance with applicable regulations.
◆ Food waste is collected in designated composting bins provided by the company and processed through composting.</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spacing w:line="240" w:lineRule="auto"/>
      </w:pPr>
      <w:r>
        <w:rPr/>
        <w:t xml:space="preserve">答案：a. The company does not currently operate a formal or centralized energy management system. However, energy efficiency is incorporated into daily operational practices through basic energy-saving awareness and responsible use of electricity. Management encourages employees to adopt prudent energy use habits as part of routine operations, with the objective of reducing unnecessary energy consumption while maintaining operational stability.
b.The company’s energy consumption is primarily associated with office operations and routine production activities. Overall energy usage remains relatively stable and at a moderate level, with no significant fluctuations observed. Electricity is the main energy source, and consumption is monitored through regular utility billing records to ensure transparency and basic cost control.
c.At present, the company does not conduct dedicated external or internal audits specifically focused on energy management. Energy usage is indirectly reviewed through standard operational reviews and utility expense monitoring. Should future operational needs or regulatory requirements arise, the company will consider introducing more structured review or audit mechanisms.
d.The company has implemented basic energy-saving measures, including promoting energy conservation awareness among employees, encouraging the shutdown of lighting and electrical equipment when not in use, and utilizing energy-efficient lighting where applicable. These measures are integrated into daily workplace practices and have contributed to maintaining stable energy consumption levels and avoiding unnecessary energy waste.</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答案：In 2025, the total energy consumption at the company’s site amounted to 83.74 GJ.
The primary sources of energy used during the reporting period included electricity, gasoline, and liquefied petroleum gas (LPG).
Electricity was mainly consumed for office operations and routine production activities, while gasoline and liquefied petroleum gas were used for operational and logistical support purposes.</w: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r>
        <w:trPr/>
        <w:tc>
          <w:tcPr>
            <w:tcW w:w="1800" w:type="dxa"/>
            <w:noWrap/>
          </w:tcPr>
          <w:p>
            <w:pPr>
              <w:jc w:val="center"/>
              <w:spacing w:line="240" w:lineRule="auto"/>
            </w:pPr>
            <w:r>
              <w:rPr>
                <w:sz w:val="24"/>
                <w:szCs w:val="24"/>
                <w:b w:val="1"/>
                <w:bCs w:val="1"/>
              </w:rPr>
              <w:t xml:space="preserve">Electricity</w:t>
            </w:r>
          </w:p>
        </w:tc>
        <w:tc>
          <w:tcPr>
            <w:tcW w:w="1800" w:type="dxa"/>
            <w:noWrap/>
          </w:tcPr>
          <w:p>
            <w:pPr>
              <w:jc w:val="center"/>
              <w:spacing w:line="240" w:lineRule="auto"/>
            </w:pPr>
            <w:r>
              <w:rPr/>
              <w:t xml:space="preserve">38.47 GJ</w:t>
            </w:r>
          </w:p>
        </w:tc>
        <w:tc>
          <w:tcPr>
            <w:tcW w:w="1800" w:type="dxa"/>
            <w:noWrap/>
          </w:tcPr>
          <w:p>
            <w:pPr>
              <w:jc w:val="center"/>
              <w:spacing w:line="240" w:lineRule="auto"/>
            </w:pPr>
            <w:r>
              <w:rPr/>
              <w:t xml:space="preserve">30.046 GJ</w:t>
            </w:r>
          </w:p>
        </w:tc>
        <w:tc>
          <w:tcPr>
            <w:tcW w:w="1800" w:type="dxa"/>
            <w:noWrap/>
          </w:tcPr>
          <w:p>
            <w:pPr>
              <w:jc w:val="center"/>
              <w:spacing w:line="240" w:lineRule="auto"/>
            </w:pPr>
            <w:r>
              <w:rPr/>
              <w:t xml:space="preserve">30.47 GJ</w:t>
            </w:r>
          </w:p>
        </w:tc>
        <w:tc>
          <w:tcPr>
            <w:tcW w:w="1800" w:type="dxa"/>
            <w:noWrap/>
          </w:tcPr>
          <w:p>
            <w:pPr>
              <w:jc w:val="center"/>
              <w:spacing w:line="240" w:lineRule="auto"/>
            </w:pPr>
            <w:r>
              <w:rPr/>
              <w:t xml:space="preserve">Air conditioning systems, lighting, electrical appliances, and charging activities.</w:t>
            </w:r>
          </w:p>
        </w:tc>
      </w:tr>
      <w:tr>
        <w:trPr/>
        <w:tc>
          <w:tcPr>
            <w:tcW w:w="1800" w:type="dxa"/>
            <w:noWrap/>
          </w:tcPr>
          <w:p>
            <w:pPr>
              <w:jc w:val="center"/>
              <w:spacing w:line="240" w:lineRule="auto"/>
            </w:pPr>
            <w:r>
              <w:rPr>
                <w:sz w:val="24"/>
                <w:szCs w:val="24"/>
                <w:b w:val="1"/>
                <w:bCs w:val="1"/>
              </w:rPr>
              <w:t xml:space="preserve">Steam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t>
            </w:r>
          </w:p>
        </w:tc>
      </w:tr>
      <w:tr>
        <w:trPr/>
        <w:tc>
          <w:tcPr>
            <w:tcW w:w="1800" w:type="dxa"/>
            <w:noWrap/>
          </w:tcPr>
          <w:p>
            <w:pPr>
              <w:jc w:val="center"/>
              <w:spacing w:line="240" w:lineRule="auto"/>
            </w:pPr>
            <w:r>
              <w:rPr>
                <w:sz w:val="24"/>
                <w:szCs w:val="24"/>
                <w:b w:val="1"/>
                <w:bCs w:val="1"/>
              </w:rPr>
              <w:t xml:space="preserve">Natural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t>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t>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55.94 GJ</w:t>
            </w:r>
          </w:p>
        </w:tc>
        <w:tc>
          <w:tcPr>
            <w:tcW w:w="1800" w:type="dxa"/>
            <w:noWrap/>
          </w:tcPr>
          <w:p>
            <w:pPr>
              <w:jc w:val="center"/>
              <w:spacing w:line="240" w:lineRule="auto"/>
            </w:pPr>
            <w:r>
              <w:rPr/>
              <w:t xml:space="preserve">49.35 GJ</w:t>
            </w:r>
          </w:p>
        </w:tc>
        <w:tc>
          <w:tcPr>
            <w:tcW w:w="1800" w:type="dxa"/>
            <w:noWrap/>
          </w:tcPr>
          <w:p>
            <w:pPr>
              <w:jc w:val="center"/>
              <w:spacing w:line="240" w:lineRule="auto"/>
            </w:pPr>
            <w:r>
              <w:rPr/>
              <w:t xml:space="preserve">51.43 GJ</w:t>
            </w:r>
          </w:p>
        </w:tc>
        <w:tc>
          <w:tcPr>
            <w:tcW w:w="1800" w:type="dxa"/>
            <w:noWrap/>
          </w:tcPr>
          <w:p>
            <w:pPr>
              <w:jc w:val="center"/>
              <w:spacing w:line="240" w:lineRule="auto"/>
            </w:pPr>
            <w:r>
              <w:rPr/>
              <w:t xml:space="preserve">company car</w:t>
            </w:r>
          </w:p>
        </w:tc>
      </w:tr>
      <w:tr>
        <w:trPr/>
        <w:tc>
          <w:tcPr>
            <w:tcW w:w="1800" w:type="dxa"/>
            <w:noWrap/>
          </w:tcPr>
          <w:p>
            <w:pPr>
              <w:jc w:val="center"/>
              <w:spacing w:line="240" w:lineRule="auto"/>
            </w:pPr>
            <w:r>
              <w:rPr>
                <w:sz w:val="24"/>
                <w:szCs w:val="24"/>
                <w:b w:val="1"/>
                <w:bCs w:val="1"/>
              </w:rPr>
              <w:t xml:space="preserve">Liquefied petroleum gas</w:t>
            </w:r>
          </w:p>
        </w:tc>
        <w:tc>
          <w:tcPr>
            <w:tcW w:w="1800" w:type="dxa"/>
            <w:noWrap/>
          </w:tcPr>
          <w:p>
            <w:pPr>
              <w:jc w:val="center"/>
              <w:spacing w:line="240" w:lineRule="auto"/>
            </w:pPr>
            <w:r>
              <w:rPr/>
              <w:t xml:space="preserve">2.76 GJ</w:t>
            </w:r>
          </w:p>
        </w:tc>
        <w:tc>
          <w:tcPr>
            <w:tcW w:w="1800" w:type="dxa"/>
            <w:noWrap/>
          </w:tcPr>
          <w:p>
            <w:pPr>
              <w:jc w:val="center"/>
              <w:spacing w:line="240" w:lineRule="auto"/>
            </w:pPr>
            <w:r>
              <w:rPr/>
              <w:t xml:space="preserve">1.84 GJ</w:t>
            </w:r>
          </w:p>
        </w:tc>
        <w:tc>
          <w:tcPr>
            <w:tcW w:w="1800" w:type="dxa"/>
            <w:noWrap/>
          </w:tcPr>
          <w:p>
            <w:pPr>
              <w:jc w:val="center"/>
              <w:spacing w:line="240" w:lineRule="auto"/>
            </w:pPr>
            <w:r>
              <w:rPr/>
              <w:t xml:space="preserve">1.84 GJ</w:t>
            </w:r>
          </w:p>
        </w:tc>
        <w:tc>
          <w:tcPr>
            <w:tcW w:w="1800" w:type="dxa"/>
            <w:noWrap/>
          </w:tcPr>
          <w:p>
            <w:pPr>
              <w:jc w:val="center"/>
              <w:spacing w:line="240" w:lineRule="auto"/>
            </w:pPr>
            <w:r>
              <w:rPr/>
              <w:t xml:space="preserve">Gas stove</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97.17 GJ</w:t>
            </w:r>
          </w:p>
        </w:tc>
        <w:tc>
          <w:tcPr>
            <w:tcW w:w="1800" w:type="dxa"/>
            <w:noWrap/>
          </w:tcPr>
          <w:p>
            <w:pPr>
              <w:jc w:val="center"/>
              <w:spacing w:line="240" w:lineRule="auto"/>
            </w:pPr>
            <w:r>
              <w:rPr/>
              <w:t xml:space="preserve">81.24 GJ</w:t>
            </w:r>
          </w:p>
        </w:tc>
        <w:tc>
          <w:tcPr>
            <w:tcW w:w="1800" w:type="dxa"/>
            <w:noWrap/>
          </w:tcPr>
          <w:p>
            <w:pPr>
              <w:jc w:val="center"/>
              <w:spacing w:line="240" w:lineRule="auto"/>
            </w:pPr>
            <w:r>
              <w:rPr/>
              <w:t xml:space="preserve">83.74 GJ</w:t>
            </w:r>
          </w:p>
        </w:tc>
        <w:tc>
          <w:tcPr>
            <w:tcW w:w="1800" w:type="dxa"/>
            <w:noWrap/>
          </w:tcPr>
          <w:p>
            <w:pPr>
              <w:jc w:val="center"/>
              <w:spacing w:line="240" w:lineRule="auto"/>
            </w:pPr>
            <w:r>
              <w:rPr/>
              <w:t xml:space="preserve">   </w:t>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r>
        <w:trPr/>
        <w:tc>
          <w:tcPr>
            <w:tcW w:w="1800" w:type="dxa"/>
            <w:noWrap/>
          </w:tcPr>
          <w:p>
            <w:pPr>
              <w:jc w:val="center"/>
              <w:spacing w:line="240" w:lineRule="auto"/>
            </w:pPr>
            <w:r>
              <w:rPr>
                <w:sz w:val="24"/>
                <w:szCs w:val="24"/>
                <w:b w:val="1"/>
                <w:bCs w:val="1"/>
              </w:rPr>
              <w:t xml:space="preserve">Energy consumption (GJ)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答案：N/A</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spacing w:line="240" w:lineRule="auto"/>
      </w:pPr>
      <w:r>
        <w:rPr/>
        <w:t xml:space="preserve">答案：N/A</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Scope 1 Direct Greenhouse Gas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Scope 2 Energy indirect GHG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r>
        <w:trPr/>
        <w:tc>
          <w:tcPr>
            <w:tcW w:w="1800" w:type="dxa"/>
            <w:noWrap/>
          </w:tcPr>
          <w:p>
            <w:pPr>
              <w:jc w:val="center"/>
              <w:spacing w:line="240" w:lineRule="auto"/>
            </w:pPr>
            <w:r>
              <w:rPr>
                <w:sz w:val="24"/>
                <w:szCs w:val="24"/>
                <w:b w:val="1"/>
                <w:bCs w:val="1"/>
              </w:rPr>
              <w:t xml:space="preserve">Project Title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content</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Resources (manpower, budget)</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Energy efficiency and Carbon Reduction Measures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Electricity Savings (Thousand kWh)</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Carbon Emissions Reduction (tCO2e)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Energy Savings (GJ)</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spacing w:line="240" w:lineRule="auto"/>
      </w:pPr>
      <w:r>
        <w:rPr/>
        <w:t xml:space="preserve">答案：N/A</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spacing w:line="240" w:lineRule="auto"/>
      </w:pPr>
      <w:r>
        <w:rPr/>
        <w:t xml:space="preserve">答案：Physical climate-related risks (acute and chronic) are assessed on a regular basis (once a year) using disaster prevention maps and manuals issued by local Japanese authorities. These materials provide location-specific risk information based on geographic conditions and are updated when revised by the authorities.
Early warning mechanisms rely on official hazard maps, public meteorological alerts, and local government disaster guidance, which support employee preparedness, evacuation planning, and emergency response.</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2026-01-22T18:34:53+08:00</dcterms:created>
  <dcterms:modified xsi:type="dcterms:W3CDTF">2026-01-22T18:34:53+08:00</dcterms:modified>
</cp:coreProperties>
</file>

<file path=docProps/custom.xml><?xml version="1.0" encoding="utf-8"?>
<Properties xmlns="http://schemas.openxmlformats.org/officeDocument/2006/custom-properties" xmlns:vt="http://schemas.openxmlformats.org/officeDocument/2006/docPropsVTypes"/>
</file>