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TM-ENV-MOTTI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4.若因問題描述不明確而無法回答，請回覆：「需要進一步說明後才能回答。」 顧問將彙整所有問題並統一回覆。
5.所有數據的小數點請統一四捨五入至第二位，如: 5.88, 4.20%。除非是部分環境面數據可能遇到極小的數值，再提供原始數值
6.若題目涉及費用請提供當地幣別，總部彙整後再一併轉換為新臺幣。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答案：辦公室及倉庫皆依照園區進行垃圾分類，統一由園區交由處理機構處理，無回收價值的木棧板則交給處理機構處理。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  (GRI 302-1)</w:t>
      </w:r>
    </w:p>
    <w:p>
      <w:pPr>
        <w:spacing w:line="240" w:lineRule="auto"/>
      </w:pPr>
      <w:r>
        <w:rPr/>
        <w:t xml:space="preserve">答案：1. 公司及倉庫的營業用電力
2. 貨車用92無鉛汽油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辦公室、門市及倉庫營業用電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貨車送貨用油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</w:t>
      </w:r>
    </w:p>
    <w:p>
      <w:pPr>
        <w:spacing w:line="240" w:lineRule="auto"/>
      </w:pPr>
      <w:r>
        <w:rPr/>
        <w:t xml:space="preserve">答案：a. 無
b. 無
c. 部門內部宣導隨手關閉電源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2026-01-19T15:10:32+08:00</dcterms:created>
  <dcterms:modified xsi:type="dcterms:W3CDTF">2026-01-19T15:10:32+08:00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