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TM-STA-TMU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Stakeholder Engagement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Dear Colleagues,
Your assistance in preparing TiMOTION's 2025 Sustainability Report is highly appreciated. Due to the volume of questions and multi-site data required, to streamline communication between internal teams and consultants during the data compilation phase, please adhere to the following guidelines: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I have read and understood.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1.Standardized Terminology for Subsidiaries: For external reporting purposes, convert internal branch codes to external names: TME&gt;France Branch Office; TMU&gt;United States Branch Office; TMJ &gt;Japan Branch Office; TMA&gt;Australia Branch Office.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2.English Full Name Clarification: As the Report is public-facing, please provide the English full name alongside any technical abbreviation or acronym (e.g., EPR material, CRM) for reader comprehension.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3.No Blank Fields: If no actions or statistics apply for 2025, please reply "None," "Not Applicable (N/A)," or provide a brief reason to expedite data verification.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4.Unclear Questions: If a question cannot be answered due to unclear instructions, please respond: “Requires further explanation to answer.” All questions will be compiled by the consultants and addressed accordingly.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5.Decimal Formatting: All numerical data should be rounded to two decimal places (e.g., 5.88, 4.20%), unless certain environmental indicators involve extremely small values—in such cases, the original figures may be provided.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6.Expense-Related Questions: If the question involves any expenses, please provide the amount in the local currency. The headquarters will consolidate and convert all figures into New Taiwan Dollars (NTD) afterward.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Stakeholder Communication Status</w:t>
      </w:r>
    </w:p>
    <w:p>
      <w:pPr>
        <w:spacing w:line="240" w:lineRule="auto"/>
      </w:pPr>
      <w:r>
        <w:rPr>
          <w:sz w:val="22"/>
          <w:szCs w:val="22"/>
        </w:rPr>
        <w:t xml:space="preserve">★Communication Frequency: Please categorize and detail the frequency (Monthly / Quarterly / Annually / Ad-hoc).
★Examples of Engagement Activities / Outcomes:
Suppliers
1.Communication Channels and Frequency with Stakeholders: Phone, email (irregular), supplier audits (once a year)
2.Communication / Grievance Channels: Procurement Department email: XXX@XXmail.com
3.2025 Engagement Status: Completed audits for 50 suppliers, with a 100% pass rate</w:t>
      </w:r>
    </w:p>
    <w:p>
      <w:pPr/>
      <w:r>
        <w:pict>
          <v:shape type="#_x0000_t75" stroked="f" style="width:200pt; height:513.4720700985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 Channels and Frequency with Stakeholders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Communication/Grievance Channels (Please specify the responsible department and contact information)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Engagement Status/Outcomes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Shareholders / Investors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Director Level Only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1) Positive outcomes, although seldom occurrences.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Banks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Monthly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Manager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TMU finance manager communicates with banks when required; positive outcomes.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Employees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All communication methods
All departments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Positive 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Client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Ad-Hoc (as Needed)
Frequency depends on needs. Some are daily, some are far less frequent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All communication Methods, but primary email, phone, teams and inperson meetings.  OPS Manager, Finance, SA, and all sales functions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Positive outcomes.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Suppliers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Ad-Hoc (as Needed)
Frequency depends on needs. Some are daily, some are far less frequent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All communication Methods, but primary email, phone, teams and inperson meetings.  OPS Manager, Finance, SA, Admin/HR.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Positive outcomes.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Government Agencies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AD-HOC (Seldom)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Manager/Director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Positive Outcomes when required.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Local Communities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Never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2026-01-15T17:20:04+08:00</dcterms:created>
  <dcterms:modified xsi:type="dcterms:W3CDTF">2026-01-15T17:20:04+08:00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