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TM-ENV-TMA</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答案：A :TMA manages water use responsibly by monitoring consumption, preventing leaks, and encouraging efficient use across operations in line with Australian standards. Energy consumption is controlled through regular review of electricity usage, use of energy-efficient equipment, and staff awareness initiatives.
B: TMA does not currently engage third-party assurance specifically for water and energy management, with usage verified through invoices from licensed Australian utility providers. Internal reviews are conducted periodically by monitoring utility data and investigating any abnormal variances.
C:TMA has implemented water-efficient fixtures compliant with the Australian WELS scheme and conducts regular plumbing inspections to minimise water loss. These measures have resulted in reduced water consumption and improved cost efficiency without impacting operations.</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答案：TMA conducts periodic water-related risk assessments as part of its operational risk management process, focusing on risks such as water supply disruptions, drought conditions, and infrastructure failures within Australia.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答案：No, in 2025 TMA did not incur any significant fines, non-monetary sanctions, or legal cases related to non-compliance with water-related laws or regulations in Australia. TMA remained fully compliant with applicable regulatory requirements, and no corrective actions were required.</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no industrial waste</w:t>
            </w:r>
          </w:p>
        </w:tc>
        <w:tc>
          <w:tcPr>
            <w:tcW w:w="1800" w:type="dxa"/>
            <w:noWrap/>
          </w:tcPr>
          <w:p>
            <w:pPr>
              <w:jc w:val="center"/>
              <w:spacing w:line="240" w:lineRule="auto"/>
            </w:pPr>
            <w:r>
              <w:rPr/>
              <w:t xml:space="preserve">no industrial waste</w:t>
            </w:r>
          </w:p>
        </w:tc>
        <w:tc>
          <w:tcPr>
            <w:tcW w:w="1800" w:type="dxa"/>
            <w:noWrap/>
          </w:tcPr>
          <w:p>
            <w:pPr>
              <w:jc w:val="center"/>
              <w:spacing w:line="240" w:lineRule="auto"/>
            </w:pPr>
            <w:r>
              <w:rPr/>
              <w:t xml:space="preserve">no industrial waste</w:t>
            </w:r>
          </w:p>
        </w:tc>
        <w:tc>
          <w:tcPr>
            <w:tcW w:w="1800" w:type="dxa"/>
            <w:noWrap/>
          </w:tcPr>
          <w:p>
            <w:pPr>
              <w:jc w:val="center"/>
              <w:spacing w:line="240" w:lineRule="auto"/>
            </w:pPr>
            <w:r>
              <w:rPr/>
              <w:t xml:space="preserve">no industrial waste</w:t>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Generated in small quantities; disposed of through licensed waste contractors</w:t>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Nil</w:t>
            </w:r>
          </w:p>
        </w:tc>
        <w:tc>
          <w:tcPr>
            <w:tcW w:w="1800" w:type="dxa"/>
            <w:noWrap/>
          </w:tcPr>
          <w:p>
            <w:pPr>
              <w:jc w:val="center"/>
              <w:spacing w:line="240" w:lineRule="auto"/>
            </w:pPr>
            <w:r>
              <w:rPr/>
              <w:t xml:space="preserve">Nil</w:t>
            </w:r>
          </w:p>
        </w:tc>
        <w:tc>
          <w:tcPr>
            <w:tcW w:w="1800" w:type="dxa"/>
            <w:noWrap/>
          </w:tcPr>
          <w:p>
            <w:pPr>
              <w:jc w:val="center"/>
              <w:spacing w:line="240" w:lineRule="auto"/>
            </w:pPr>
            <w:r>
              <w:rPr/>
              <w:t xml:space="preserve">Nil</w:t>
            </w:r>
          </w:p>
        </w:tc>
        <w:tc>
          <w:tcPr>
            <w:tcW w:w="1800" w:type="dxa"/>
            <w:noWrap/>
          </w:tcPr>
          <w:p>
            <w:pPr>
              <w:jc w:val="center"/>
              <w:spacing w:line="240" w:lineRule="auto"/>
            </w:pPr>
            <w:r>
              <w:rPr/>
              <w:t xml:space="preserve">TMA operations do not generate hazardous waste</w:t>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generated from staff amenities only</w:t>
            </w:r>
          </w:p>
        </w:tc>
        <w:tc>
          <w:tcPr>
            <w:tcW w:w="1800" w:type="dxa"/>
            <w:noWrap/>
          </w:tcPr>
          <w:p>
            <w:pPr>
              <w:jc w:val="center"/>
              <w:spacing w:line="240" w:lineRule="auto"/>
            </w:pPr>
            <w:r>
              <w:rPr/>
              <w:t xml:space="preserve">generated from staff amenities only</w:t>
            </w:r>
          </w:p>
        </w:tc>
        <w:tc>
          <w:tcPr>
            <w:tcW w:w="1800" w:type="dxa"/>
            <w:noWrap/>
          </w:tcPr>
          <w:p>
            <w:pPr>
              <w:jc w:val="center"/>
              <w:spacing w:line="240" w:lineRule="auto"/>
            </w:pPr>
            <w:r>
              <w:rPr/>
              <w:t xml:space="preserve">generated from staff amenities only</w:t>
            </w:r>
          </w:p>
        </w:tc>
        <w:tc>
          <w:tcPr>
            <w:tcW w:w="1800" w:type="dxa"/>
            <w:noWrap/>
          </w:tcPr>
          <w:p>
            <w:pPr>
              <w:jc w:val="center"/>
              <w:spacing w:line="240" w:lineRule="auto"/>
            </w:pPr>
            <w:r>
              <w:rPr/>
              <w:t xml:space="preserve">No large-scale food handling activities</w:t>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Generated in small quantities; disposed of through licensed waste contractors</w:t>
            </w:r>
          </w:p>
        </w:tc>
        <w:tc>
          <w:tcPr>
            <w:tcW w:w="1800" w:type="dxa"/>
            <w:noWrap/>
          </w:tcPr>
          <w:p>
            <w:pPr>
              <w:jc w:val="center"/>
              <w:spacing w:line="240" w:lineRule="auto"/>
            </w:pPr>
            <w:r>
              <w:rPr/>
              <w:t xml:space="preserve">managed in accordance with local council requirements</w:t>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Minimal</w:t>
            </w:r>
          </w:p>
        </w:tc>
        <w:tc>
          <w:tcPr>
            <w:tcW w:w="1800" w:type="dxa"/>
            <w:noWrap/>
          </w:tcPr>
          <w:p>
            <w:pPr>
              <w:jc w:val="center"/>
              <w:spacing w:line="240" w:lineRule="auto"/>
            </w:pPr>
            <w:r>
              <w:rPr/>
              <w:t xml:space="preserve">Minimal</w:t>
            </w:r>
          </w:p>
        </w:tc>
        <w:tc>
          <w:tcPr>
            <w:tcW w:w="1800" w:type="dxa"/>
            <w:noWrap/>
          </w:tcPr>
          <w:p>
            <w:pPr>
              <w:jc w:val="center"/>
              <w:spacing w:line="240" w:lineRule="auto"/>
            </w:pPr>
            <w:r>
              <w:rPr/>
              <w:t xml:space="preserve">Minimal</w:t>
            </w:r>
          </w:p>
        </w:tc>
        <w:tc>
          <w:tcPr>
            <w:tcW w:w="1800" w:type="dxa"/>
            <w:noWrap/>
          </w:tcPr>
          <w:p>
            <w:pPr>
              <w:jc w:val="center"/>
              <w:spacing w:line="240" w:lineRule="auto"/>
            </w:pPr>
            <w:r>
              <w:rPr/>
              <w:t xml:space="preserve">TMA continues to minimise waste generation and comply with local waste management requirements</w:t>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答案：TMA implements a waste categorisation, collection, and management system, with different waste types stored separately using appropriate packaging and managed through internal recycling or licensed external contractors.</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答案：A: TMA manages energy use through routine monitoring of electricity consumption and compliance with applicable Australian regulations and utility requirements.
B: TMA’s energy consumption is primarily electricity-based and remains stable year-on-year, reflecting the nature and scale of its operations.
C: TMA does not currently undertake external audits specific to energy management, with consumption verified through utility provider invoices, and internal reviews conducted periodically by reviewing electricity usage data.
D: TMA has not implemented specific energy-saving initiatives to date, and no measurable energy reduction outcomes are currently reported.</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答案：In 2025, TMA did not record consolidated quantitative energy consumption data at site level, and therefore total energy consumption figures are not available for disclosure. The primary source of energy used at the site is grid-supplied electricity. </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Primary source of emissions due to grid-supplied electricity used for normal operations</w:t>
            </w:r>
          </w:p>
        </w:tc>
        <w:tc>
          <w:tcPr>
            <w:tcW w:w="1800" w:type="dxa"/>
            <w:noWrap/>
          </w:tcPr>
          <w:p>
            <w:pPr>
              <w:jc w:val="center"/>
              <w:spacing w:line="240" w:lineRule="auto"/>
            </w:pPr>
            <w:r>
              <w:rPr/>
              <w:t xml:space="preserve">Primary source of emissions due to grid-supplied electricity used for normal operations</w:t>
            </w:r>
          </w:p>
        </w:tc>
        <w:tc>
          <w:tcPr>
            <w:tcW w:w="1800" w:type="dxa"/>
            <w:noWrap/>
          </w:tcPr>
          <w:p>
            <w:pPr>
              <w:jc w:val="center"/>
              <w:spacing w:line="240" w:lineRule="auto"/>
            </w:pPr>
            <w:r>
              <w:rPr/>
              <w:t xml:space="preserve">Primary source of emissions due to grid-supplied electricity used for normal operations</w:t>
            </w:r>
          </w:p>
        </w:tc>
        <w:tc>
          <w:tcPr>
            <w:tcW w:w="1800" w:type="dxa"/>
            <w:noWrap/>
          </w:tcPr>
          <w:p>
            <w:pPr>
              <w:jc w:val="center"/>
              <w:spacing w:line="240" w:lineRule="auto"/>
            </w:pPr>
            <w:r>
              <w:rPr/>
              <w:t xml:space="preserve">Primary source of emissions due to grid-supplied electricity used for normal operations</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Emissions mainly derived from electricity consumption only</w:t>
            </w:r>
          </w:p>
        </w:tc>
        <w:tc>
          <w:tcPr>
            <w:tcW w:w="1800" w:type="dxa"/>
            <w:noWrap/>
          </w:tcPr>
          <w:p>
            <w:pPr>
              <w:jc w:val="center"/>
              <w:spacing w:line="240" w:lineRule="auto"/>
            </w:pPr>
            <w:r>
              <w:rPr/>
              <w:t xml:space="preserve">Emissions mainly derived from electricity consumption only</w:t>
            </w:r>
          </w:p>
        </w:tc>
        <w:tc>
          <w:tcPr>
            <w:tcW w:w="1800" w:type="dxa"/>
            <w:noWrap/>
          </w:tcPr>
          <w:p>
            <w:pPr>
              <w:jc w:val="center"/>
              <w:spacing w:line="240" w:lineRule="auto"/>
            </w:pPr>
            <w:r>
              <w:rPr/>
              <w:t xml:space="preserve">Emissions mainly derived from electricity consumption only</w:t>
            </w:r>
          </w:p>
        </w:tc>
        <w:tc>
          <w:tcPr>
            <w:tcW w:w="1800" w:type="dxa"/>
            <w:noWrap/>
          </w:tcPr>
          <w:p>
            <w:pPr>
              <w:jc w:val="center"/>
              <w:spacing w:line="240" w:lineRule="auto"/>
            </w:pPr>
            <w:r>
              <w:rPr/>
              <w:t xml:space="preserve">Emissions mainly derived from electricity consumption only</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TMA does not currently track or consolidate energy consumption outside of the organisation, and no quantitative data is available.</w:t>
            </w:r>
          </w:p>
        </w:tc>
        <w:tc>
          <w:tcPr>
            <w:tcW w:w="1800" w:type="dxa"/>
            <w:noWrap/>
          </w:tcPr>
          <w:p>
            <w:pPr>
              <w:jc w:val="center"/>
              <w:spacing w:line="240" w:lineRule="auto"/>
            </w:pPr>
            <w:r>
              <w:rPr/>
              <w:t xml:space="preserve">TMA does not currently track or consolidate energy consumption outside of the organisation, and no quantitative data is available.</w:t>
            </w:r>
          </w:p>
        </w:tc>
        <w:tc>
          <w:tcPr>
            <w:tcW w:w="1800" w:type="dxa"/>
            <w:noWrap/>
          </w:tcPr>
          <w:p>
            <w:pPr>
              <w:jc w:val="center"/>
              <w:spacing w:line="240" w:lineRule="auto"/>
            </w:pPr>
            <w:r>
              <w:rPr/>
              <w:t xml:space="preserve">TMA does not currently track or consolidate energy consumption outside of the organisation, and no quantitative data is available.</w:t>
            </w:r>
          </w:p>
        </w:tc>
        <w:tc>
          <w:tcPr>
            <w:tcW w:w="1800" w:type="dxa"/>
            <w:noWrap/>
          </w:tcPr>
          <w:p>
            <w:pPr>
              <w:jc w:val="center"/>
              <w:spacing w:line="240" w:lineRule="auto"/>
            </w:pPr>
            <w:r>
              <w:rPr/>
              <w:t xml:space="preserve">TMA does not currently track or consolidate energy consumption outside of the organisation, and no quantitative data is available.</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答案：No </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答案：A: TMA is committed to responsible greenhouse gas management by monitoring emissions from its operations and complying with relevant Australian regulations.
B: No 
C: No</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TMA does not currently quantify direct emissions from on-site fuel or gas use</w:t>
            </w:r>
          </w:p>
        </w:tc>
        <w:tc>
          <w:tcPr>
            <w:tcW w:w="1800" w:type="dxa"/>
            <w:noWrap/>
          </w:tcPr>
          <w:p>
            <w:pPr>
              <w:jc w:val="center"/>
              <w:spacing w:line="240" w:lineRule="auto"/>
            </w:pPr>
            <w:r>
              <w:rPr/>
              <w:t xml:space="preserve">TMA does not currently quantify direct emissions from on-site fuel or gas use</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TMA does not currently quantify indirect emissions from on-site fuel or gas use</w:t>
            </w:r>
          </w:p>
        </w:tc>
        <w:tc>
          <w:tcPr>
            <w:tcW w:w="1800" w:type="dxa"/>
            <w:noWrap/>
          </w:tcPr>
          <w:p>
            <w:pPr>
              <w:jc w:val="center"/>
              <w:spacing w:line="240" w:lineRule="auto"/>
            </w:pPr>
            <w:r>
              <w:rPr/>
              <w:t xml:space="preserve">TMA does not currently quantify indirect emissions from on-site fuel or gas use</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TMA monitors electricity usage to estimate indirect emissions and ensures compliance with Australian environmental regulations, while formal measurement and external verification of GHG emissions have not yet been implemented.</w:t>
            </w:r>
          </w:p>
        </w:tc>
        <w:tc>
          <w:tcPr>
            <w:tcW w:w="1800" w:type="dxa"/>
            <w:noWrap/>
          </w:tcPr>
          <w:p>
            <w:pPr>
              <w:jc w:val="center"/>
              <w:spacing w:line="240" w:lineRule="auto"/>
            </w:pPr>
            <w:r>
              <w:rPr/>
              <w:t xml:space="preserve">TMA monitors electricity usage to estimate indirect emissions and ensures compliance with Australian environmental regulations, while formal measurement and external verification of GHG emissions have not yet been implemented.</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No</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TMA did not implement formal energy efficiency or carbon reduction initiatives during 2025.</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Not applicable</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Not applicable</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答案：No</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答案：No</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答案：No</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2026-01-15T17:26:03+08:00</dcterms:created>
  <dcterms:modified xsi:type="dcterms:W3CDTF">2026-01-15T17:26:03+08:00</dcterms:modified>
</cp:coreProperties>
</file>

<file path=docProps/custom.xml><?xml version="1.0" encoding="utf-8"?>
<Properties xmlns="http://schemas.openxmlformats.org/officeDocument/2006/custom-properties" xmlns:vt="http://schemas.openxmlformats.org/officeDocument/2006/docPropsVTypes"/>
</file>