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50</w:t>
            </w:r>
          </w:p>
        </w:tc>
        <w:tc>
          <w:tcPr>
            <w:tcW w:w="1800" w:type="dxa"/>
            <w:noWrap/>
          </w:tcPr>
          <w:p>
            <w:pPr>
              <w:jc w:val="center"/>
              <w:spacing w:line="240" w:lineRule="auto"/>
            </w:pPr>
            <w:r>
              <w:rPr/>
              <w:t xml:space="preserve">63</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32</w:t>
            </w:r>
          </w:p>
        </w:tc>
      </w:tr>
      <w:tr>
        <w:trPr/>
        <w:tc>
          <w:tcPr>
            <w:tcW w:w="1800" w:type="dxa"/>
            <w:noWrap/>
          </w:tcPr>
          <w:p>
            <w:pPr>
              <w:jc w:val="center"/>
              <w:spacing w:line="240" w:lineRule="auto"/>
            </w:pPr>
            <w:r>
              <w:rPr>
                <w:sz w:val="24"/>
                <w:szCs w:val="24"/>
                <w:b w:val="1"/>
                <w:bCs w:val="1"/>
              </w:rPr>
              <w:t xml:space="preserve">TME - Total</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76</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38</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63</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32</w:t>
            </w:r>
          </w:p>
        </w:tc>
      </w:tr>
      <w:tr>
        <w:trPr/>
        <w:tc>
          <w:tcPr>
            <w:tcW w:w="1800" w:type="dxa"/>
            <w:noWrap/>
          </w:tcPr>
          <w:p>
            <w:pPr>
              <w:jc w:val="center"/>
              <w:spacing w:line="240" w:lineRule="auto"/>
            </w:pPr>
            <w:r>
              <w:rPr>
                <w:sz w:val="24"/>
                <w:szCs w:val="24"/>
                <w:b w:val="1"/>
                <w:bCs w:val="1"/>
              </w:rPr>
              <w:t xml:space="preserve">TME - Total</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55</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61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63</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31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29</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32</w:t>
            </w:r>
          </w:p>
        </w:tc>
      </w:tr>
      <w:tr>
        <w:trPr/>
        <w:tc>
          <w:tcPr>
            <w:tcW w:w="1800" w:type="dxa"/>
            <w:noWrap/>
          </w:tcPr>
          <w:p>
            <w:pPr>
              <w:jc w:val="center"/>
              <w:spacing w:line="240" w:lineRule="auto"/>
            </w:pPr>
            <w:r>
              <w:rPr>
                <w:sz w:val="24"/>
                <w:szCs w:val="24"/>
                <w:b w:val="1"/>
                <w:bCs w:val="1"/>
              </w:rPr>
              <w:t xml:space="preserve">TME- Total</w:t>
            </w:r>
          </w:p>
        </w:tc>
        <w:tc>
          <w:tcPr>
            <w:tcW w:w="1800" w:type="dxa"/>
            <w:noWrap/>
          </w:tcPr>
          <w:p>
            <w:pPr>
              <w:jc w:val="center"/>
              <w:spacing w:line="240" w:lineRule="auto"/>
            </w:pPr>
            <w:r>
              <w:rPr/>
              <w:t xml:space="preserve">92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92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TME-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TME-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9 (new) + 6 (existing) =15</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 (new) + 9 (existing) = 14</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5 (new) + 35 (existing) = 40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10 (new) + 45 (existing) = 55</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 (new) + 22 (existing) = 22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 (new) + 23 (existing) = 26</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14 (new) + 63 (existing) = 77</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18 (new) + 77 (existing) = 95</w:t>
            </w:r>
          </w:p>
        </w:tc>
      </w:tr>
      <w:tr>
        <w:trPr/>
        <w:tc>
          <w:tcPr>
            <w:tcW w:w="1800" w:type="dxa"/>
            <w:noWrap/>
          </w:tcPr>
          <w:p>
            <w:pPr>
              <w:jc w:val="center"/>
              <w:spacing w:line="240" w:lineRule="auto"/>
            </w:pPr>
            <w:r>
              <w:rPr>
                <w:sz w:val="24"/>
                <w:szCs w:val="24"/>
                <w:b w:val="1"/>
                <w:bCs w:val="1"/>
              </w:rPr>
              <w:t xml:space="preserve">Rate of new employee hires</w:t>
            </w:r>
          </w:p>
        </w:tc>
        <w:tc>
          <w:tcPr>
            <w:tcW w:w="1800" w:type="dxa"/>
            <w:noWrap/>
          </w:tcPr>
          <w:p>
            <w:pPr>
              <w:jc w:val="center"/>
              <w:spacing w:line="240" w:lineRule="auto"/>
            </w:pPr>
            <w:r>
              <w:rPr/>
              <w:t xml:space="preserve">9.09% (7/77)</w:t>
            </w:r>
          </w:p>
        </w:tc>
        <w:tc>
          <w:tcPr>
            <w:tcW w:w="1800" w:type="dxa"/>
            <w:noWrap/>
          </w:tcPr>
          <w:p>
            <w:pPr>
              <w:jc w:val="center"/>
              <w:spacing w:line="240" w:lineRule="auto"/>
            </w:pPr>
            <w:r>
              <w:rPr/>
              <w:t xml:space="preserve">9.09% (7/77)</w:t>
            </w:r>
          </w:p>
        </w:tc>
        <w:tc>
          <w:tcPr>
            <w:tcW w:w="1800" w:type="dxa"/>
            <w:noWrap/>
          </w:tcPr>
          <w:p>
            <w:pPr>
              <w:jc w:val="center"/>
              <w:spacing w:line="240" w:lineRule="auto"/>
            </w:pPr>
            <w:r>
              <w:rPr/>
              <w:t xml:space="preserve">18.18% (14/77)</w:t>
            </w:r>
          </w:p>
        </w:tc>
        <w:tc>
          <w:tcPr>
            <w:tcW w:w="1800" w:type="dxa"/>
            <w:noWrap/>
          </w:tcPr>
          <w:p>
            <w:pPr>
              <w:jc w:val="center"/>
              <w:spacing w:line="240" w:lineRule="auto"/>
            </w:pPr>
            <w:r>
              <w:rPr/>
              <w:t xml:space="preserve">10.52% (10/95)</w:t>
            </w:r>
          </w:p>
        </w:tc>
        <w:tc>
          <w:tcPr>
            <w:tcW w:w="1800" w:type="dxa"/>
            <w:noWrap/>
          </w:tcPr>
          <w:p>
            <w:pPr>
              <w:jc w:val="center"/>
              <w:spacing w:line="240" w:lineRule="auto"/>
            </w:pPr>
            <w:r>
              <w:rPr/>
              <w:t xml:space="preserve">8.42% (8/95)</w:t>
            </w:r>
          </w:p>
        </w:tc>
        <w:tc>
          <w:tcPr>
            <w:tcW w:w="1800" w:type="dxa"/>
            <w:noWrap/>
          </w:tcPr>
          <w:p>
            <w:pPr>
              <w:jc w:val="center"/>
              <w:spacing w:line="240" w:lineRule="auto"/>
            </w:pPr>
            <w:r>
              <w:rPr/>
              <w:t xml:space="preserve">18.94% (18/77)</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spacing w:line="240" w:lineRule="auto"/>
      </w:pPr>
      <w:r>
        <w:rPr/>
        <w:t xml:space="preserve">答案：(Details of the calculations are in parentheses above).
Timotion Europe (TME)’s business has grown steadily, although some of the recruitment plans for 2024–2025 were not fully realized.</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33.33% (5/15)</w:t>
            </w:r>
          </w:p>
        </w:tc>
        <w:tc>
          <w:tcPr>
            <w:tcW w:w="1800" w:type="dxa"/>
            <w:noWrap/>
          </w:tcPr>
          <w:p>
            <w:pPr>
              <w:jc w:val="center"/>
              <w:spacing w:line="240" w:lineRule="auto"/>
            </w:pPr>
            <w:r>
              <w:rPr/>
              <w:t xml:space="preserve">26.67% (4/15)</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21.42% (3/14)</w:t>
            </w:r>
          </w:p>
        </w:tc>
        <w:tc>
          <w:tcPr>
            <w:tcW w:w="1800" w:type="dxa"/>
            <w:noWrap/>
          </w:tcPr>
          <w:p>
            <w:pPr>
              <w:jc w:val="center"/>
              <w:spacing w:line="240" w:lineRule="auto"/>
            </w:pPr>
            <w:r>
              <w:rPr/>
              <w:t xml:space="preserve">21.42% (3/14)</w:t>
            </w:r>
          </w:p>
        </w:tc>
        <w:tc>
          <w:tcPr>
            <w:tcW w:w="1800" w:type="dxa"/>
            <w:noWrap/>
          </w:tcPr>
          <w:p>
            <w:pPr>
              <w:jc w:val="center"/>
              <w:spacing w:line="240" w:lineRule="auto"/>
            </w:pPr>
            <w:r>
              <w:rPr/>
              <w:t xml:space="preserve">14</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12.5% (5/40)</w:t>
            </w:r>
          </w:p>
        </w:tc>
        <w:tc>
          <w:tcPr>
            <w:tcW w:w="1800" w:type="dxa"/>
            <w:noWrap/>
          </w:tcPr>
          <w:p>
            <w:pPr>
              <w:jc w:val="center"/>
              <w:spacing w:line="240" w:lineRule="auto"/>
            </w:pPr>
            <w:r>
              <w:rPr/>
              <w:t xml:space="preserve">7.5% (3/40)</w:t>
            </w:r>
          </w:p>
        </w:tc>
        <w:tc>
          <w:tcPr>
            <w:tcW w:w="1800" w:type="dxa"/>
            <w:noWrap/>
          </w:tcPr>
          <w:p>
            <w:pPr>
              <w:jc w:val="center"/>
              <w:spacing w:line="240" w:lineRule="auto"/>
            </w:pPr>
            <w:r>
              <w:rPr/>
              <w:t xml:space="preserve">40</w:t>
            </w:r>
          </w:p>
        </w:tc>
        <w:tc>
          <w:tcPr>
            <w:tcW w:w="1800" w:type="dxa"/>
            <w:noWrap/>
          </w:tcPr>
          <w:p>
            <w:pPr>
              <w:jc w:val="center"/>
              <w:spacing w:line="240" w:lineRule="auto"/>
            </w:pPr>
            <w:r>
              <w:rPr/>
              <w:t xml:space="preserve">7.27% (4/55)</w:t>
            </w:r>
          </w:p>
        </w:tc>
        <w:tc>
          <w:tcPr>
            <w:tcW w:w="1800" w:type="dxa"/>
            <w:noWrap/>
          </w:tcPr>
          <w:p>
            <w:pPr>
              <w:jc w:val="center"/>
              <w:spacing w:line="240" w:lineRule="auto"/>
            </w:pPr>
            <w:r>
              <w:rPr/>
              <w:t xml:space="preserve">7.27% (4/55)</w:t>
            </w:r>
          </w:p>
        </w:tc>
        <w:tc>
          <w:tcPr>
            <w:tcW w:w="1800" w:type="dxa"/>
            <w:noWrap/>
          </w:tcPr>
          <w:p>
            <w:pPr>
              <w:jc w:val="center"/>
              <w:spacing w:line="240" w:lineRule="auto"/>
            </w:pPr>
            <w:r>
              <w:rPr/>
              <w:t xml:space="preserve">55</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9.09% (2/22)</w:t>
            </w:r>
          </w:p>
        </w:tc>
        <w:tc>
          <w:tcPr>
            <w:tcW w:w="1800" w:type="dxa"/>
            <w:noWrap/>
          </w:tcPr>
          <w:p>
            <w:pPr>
              <w:jc w:val="center"/>
              <w:spacing w:line="240" w:lineRule="auto"/>
            </w:pPr>
            <w:r>
              <w:rPr/>
              <w:t xml:space="preserve">4.54% (1/22)</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0% (0/26)</w:t>
            </w:r>
          </w:p>
        </w:tc>
        <w:tc>
          <w:tcPr>
            <w:tcW w:w="1800" w:type="dxa"/>
            <w:noWrap/>
          </w:tcPr>
          <w:p>
            <w:pPr>
              <w:jc w:val="center"/>
              <w:spacing w:line="240" w:lineRule="auto"/>
            </w:pPr>
            <w:r>
              <w:rPr/>
              <w:t xml:space="preserve">3.84% (1/26)</w:t>
            </w:r>
          </w:p>
        </w:tc>
        <w:tc>
          <w:tcPr>
            <w:tcW w:w="1800" w:type="dxa"/>
            <w:noWrap/>
          </w:tcPr>
          <w:p>
            <w:pPr>
              <w:jc w:val="center"/>
              <w:spacing w:line="240" w:lineRule="auto"/>
            </w:pPr>
            <w:r>
              <w:rPr/>
              <w:t xml:space="preserve">26</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15.58% (12/77)</w:t>
            </w:r>
          </w:p>
        </w:tc>
        <w:tc>
          <w:tcPr>
            <w:tcW w:w="1800" w:type="dxa"/>
            <w:noWrap/>
          </w:tcPr>
          <w:p>
            <w:pPr>
              <w:jc w:val="center"/>
              <w:spacing w:line="240" w:lineRule="auto"/>
            </w:pPr>
            <w:r>
              <w:rPr/>
              <w:t xml:space="preserve">10.38% (8/77)</w:t>
            </w:r>
          </w:p>
        </w:tc>
        <w:tc>
          <w:tcPr>
            <w:tcW w:w="1800" w:type="dxa"/>
            <w:noWrap/>
          </w:tcPr>
          <w:p>
            <w:pPr>
              <w:jc w:val="center"/>
              <w:spacing w:line="240" w:lineRule="auto"/>
            </w:pPr>
            <w:r>
              <w:rPr/>
              <w:t xml:space="preserve">77</w:t>
            </w:r>
          </w:p>
        </w:tc>
        <w:tc>
          <w:tcPr>
            <w:tcW w:w="1800" w:type="dxa"/>
            <w:noWrap/>
          </w:tcPr>
          <w:p>
            <w:pPr>
              <w:jc w:val="center"/>
              <w:spacing w:line="240" w:lineRule="auto"/>
            </w:pPr>
            <w:r>
              <w:rPr/>
              <w:t xml:space="preserve">7.36% (7/95)</w:t>
            </w:r>
          </w:p>
        </w:tc>
        <w:tc>
          <w:tcPr>
            <w:tcW w:w="1800" w:type="dxa"/>
            <w:noWrap/>
          </w:tcPr>
          <w:p>
            <w:pPr>
              <w:jc w:val="center"/>
              <w:spacing w:line="240" w:lineRule="auto"/>
            </w:pPr>
            <w:r>
              <w:rPr/>
              <w:t xml:space="preserve">8.42% (8/95)</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r>
        <w:trPr/>
        <w:tc>
          <w:tcPr>
            <w:tcW w:w="1800" w:type="dxa"/>
            <w:noWrap/>
          </w:tcPr>
          <w:p>
            <w:pPr>
              <w:jc w:val="center"/>
              <w:spacing w:line="240" w:lineRule="auto"/>
            </w:pPr>
            <w:r>
              <w:rPr>
                <w:sz w:val="24"/>
                <w:szCs w:val="24"/>
                <w:b w:val="1"/>
                <w:bCs w:val="1"/>
              </w:rPr>
              <w:t xml:space="preserve">Voluntary turnover rate</w:t>
            </w:r>
          </w:p>
        </w:tc>
        <w:tc>
          <w:tcPr>
            <w:tcW w:w="1800" w:type="dxa"/>
            <w:noWrap/>
          </w:tcPr>
          <w:p>
            <w:pPr>
              <w:jc w:val="center"/>
              <w:spacing w:line="240" w:lineRule="auto"/>
            </w:pPr>
            <w:r>
              <w:rPr/>
              <w:t xml:space="preserve">85% (17/20)</w:t>
            </w:r>
          </w:p>
        </w:tc>
        <w:tc>
          <w:tcPr>
            <w:tcW w:w="1800" w:type="dxa"/>
            <w:noWrap/>
          </w:tcPr>
          <w:p>
            <w:pPr>
              <w:jc w:val="center"/>
              <w:spacing w:line="240" w:lineRule="auto"/>
            </w:pPr>
            <w:r>
              <w:rPr/>
              <w:t xml:space="preserve">53.33% (8/15)</w:t>
            </w:r>
          </w:p>
        </w:tc>
      </w:tr>
      <w:tr>
        <w:trPr/>
        <w:tc>
          <w:tcPr>
            <w:tcW w:w="1800" w:type="dxa"/>
            <w:noWrap/>
          </w:tcPr>
          <w:p>
            <w:pPr>
              <w:jc w:val="center"/>
              <w:spacing w:line="240" w:lineRule="auto"/>
            </w:pPr>
            <w:r>
              <w:rPr>
                <w:sz w:val="24"/>
                <w:szCs w:val="24"/>
                <w:b w:val="1"/>
                <w:bCs w:val="1"/>
              </w:rPr>
              <w:t xml:space="preserve">Involuntary turnover rate</w:t>
            </w:r>
          </w:p>
        </w:tc>
        <w:tc>
          <w:tcPr>
            <w:tcW w:w="1800" w:type="dxa"/>
            <w:noWrap/>
          </w:tcPr>
          <w:p>
            <w:pPr>
              <w:jc w:val="center"/>
              <w:spacing w:line="240" w:lineRule="auto"/>
            </w:pPr>
            <w:r>
              <w:rPr/>
              <w:t xml:space="preserve">15% (3/20)</w:t>
            </w:r>
          </w:p>
        </w:tc>
        <w:tc>
          <w:tcPr>
            <w:tcW w:w="1800" w:type="dxa"/>
            <w:noWrap/>
          </w:tcPr>
          <w:p>
            <w:pPr>
              <w:jc w:val="center"/>
              <w:spacing w:line="240" w:lineRule="auto"/>
            </w:pPr>
            <w:r>
              <w:rPr/>
              <w:t xml:space="preserve">46.67% (7/15)</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spacing w:line="240" w:lineRule="auto"/>
      </w:pPr>
      <w:r>
        <w:rPr/>
        <w:t xml:space="preserve">答案：(Details of the calculations are in parentheses above).
To clarify the interpretation of voluntary and involuntary turnover rate:
- Voluntary turnover rate: departure solely at the employee's decision
- Involuntary turnover rate: departure solely at the employer's decision
For voluntary turnover rate : there were many more resignations in 2024 compared to 2025
For involuntary turnover rate : there were many trial period endings in 2025 compared to 2024</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r>
        <w:trPr/>
        <w:tc>
          <w:tcPr>
            <w:tcW w:w="1800" w:type="dxa"/>
            <w:noWrap/>
          </w:tcPr>
          <w:p>
            <w:pPr>
              <w:jc w:val="center"/>
              <w:spacing w:line="240" w:lineRule="auto"/>
            </w:pPr>
            <w:r>
              <w:rPr>
                <w:sz w:val="24"/>
                <w:szCs w:val="24"/>
                <w:b w:val="1"/>
                <w:bCs w:val="1"/>
              </w:rPr>
              <w:t xml:space="preserve">TME</w:t>
            </w:r>
          </w:p>
        </w:tc>
        <w:tc>
          <w:tcPr>
            <w:tcW w:w="1800" w:type="dxa"/>
            <w:noWrap/>
          </w:tcPr>
          <w:p>
            <w:pPr>
              <w:jc w:val="center"/>
              <w:spacing w:line="240" w:lineRule="auto"/>
            </w:pPr>
            <w:r>
              <w:rPr/>
              <w:t xml:space="preserve">109.33%</w:t>
            </w:r>
          </w:p>
        </w:tc>
        <w:tc>
          <w:tcPr>
            <w:tcW w:w="1800" w:type="dxa"/>
            <w:noWrap/>
          </w:tcPr>
          <w:p>
            <w:pPr>
              <w:jc w:val="center"/>
              <w:spacing w:line="240" w:lineRule="auto"/>
            </w:pPr>
            <w:r>
              <w:rPr/>
              <w:t xml:space="preserve">109.33%</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spacing w:line="240" w:lineRule="auto"/>
      </w:pPr>
      <w:r>
        <w:rPr/>
        <w:t xml:space="preserve">答案：Yes, Timotion Europe (TME) carries out these analyses annually for its employees based in France, in compliance with the national legal requirement known as the “Gender Equality Index" (see more details here : https://travail-emploi.gouv.fr/index-de-legalite-professionnelle-calcul-et-questionsreponses).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spacing w:line="240" w:lineRule="auto"/>
      </w:pPr>
      <w:r>
        <w:rPr/>
        <w:t xml:space="preserve">答案：Timotion Europe (TME)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A monthly meeting is held with all employees to keep them informed about company news (with key figures, ongoing projects, new products, etc.).
As of 2025, there are no known unionized employees within Timotion Europe (TME).
In France, 4 employees are members of the CSE (Social and Economic Committee), which is mandatory for companies with more than 50 employees. 
Management and HR meet with the CSE every other month to discuss key projects, share relevant information, and gather feedback, opinions, and requests on various topics.</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spacing w:line="240" w:lineRule="auto"/>
      </w:pPr>
      <w:r>
        <w:rPr/>
        <w:t xml:space="preserve">答案：Timotion Europe (TME) complies with labor-related regulations when providing advance notice for termination, ensuring that employees receive notifications and the protection of relevant rights within a reasonable period.
In France, statutory notice periods are as follows:
- 1 month for employees. In the event of termination by the employer (except in cases of serious or gross misconduct) this notice period is extended to 2 months after two years of service
- 2 months for technicians
- 3 months for supervisors and managers.
In other European countries, applicable local legislation is observed, depending on the reasons for the employee’s departure.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spacing w:line="240" w:lineRule="auto"/>
      </w:pPr>
      <w:r>
        <w:rPr/>
        <w:t xml:space="preserve">答案：The company's employee benefits policy for 2025 is as follows:
1. Profit-sharing plan
2. Mandatory health and accident insurance for employees
3. Pension plan for managers
4. Remote work: 1 day per week with other specific rules
5. Meal voucher: a digital card credited at the end of the month with 8€ per day worked
6. Paid leave and days off: 25 paid days off each year + 10-14 days off each year
7. Ergonomic desks with automatic height adjustment provided to all office employees
8. One day of parental leave per year (for children under 14), in addition to legal requirements
9. Quarterly meal allowance: each employee is entitled to 40€ per quarter, up to a maximum of 160€ per person per year
10. Medical examinations: every new employee receives a medical examination. This examination is then renewed every two to five years.
11. Gifts and bonuses for traditional holidays
12. Paid leave for various reasons (death, birth, relocation, etc.)</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r>
        <w:trPr/>
        <w:tc>
          <w:tcPr>
            <w:tcW w:w="1800" w:type="dxa"/>
            <w:noWrap/>
          </w:tcPr>
          <w:p>
            <w:pPr>
              <w:jc w:val="center"/>
              <w:spacing w:line="240" w:lineRule="auto"/>
            </w:pPr>
            <w:r>
              <w:rPr>
                <w:sz w:val="24"/>
                <w:szCs w:val="24"/>
                <w:b w:val="1"/>
                <w:bCs w:val="1"/>
              </w:rPr>
              <w:t xml:space="preserve"> Life insurance</w:t>
            </w:r>
          </w:p>
        </w:tc>
        <w:tc>
          <w:tcPr>
            <w:tcW w:w="1800" w:type="dxa"/>
            <w:noWrap/>
          </w:tcPr>
          <w:p>
            <w:pPr>
              <w:jc w:val="center"/>
              <w:spacing w:line="240" w:lineRule="auto"/>
            </w:pPr>
            <w:r>
              <w:rPr/>
              <w:t xml:space="preserve">Yes (includes in accident insurance mentioned above)</w:t>
            </w:r>
          </w:p>
        </w:tc>
      </w:tr>
      <w:tr>
        <w:trPr/>
        <w:tc>
          <w:tcPr>
            <w:tcW w:w="1800" w:type="dxa"/>
            <w:noWrap/>
          </w:tcPr>
          <w:p>
            <w:pPr>
              <w:jc w:val="center"/>
              <w:spacing w:line="240" w:lineRule="auto"/>
            </w:pPr>
            <w:r>
              <w:rPr>
                <w:sz w:val="24"/>
                <w:szCs w:val="24"/>
                <w:b w:val="1"/>
                <w:bCs w:val="1"/>
              </w:rPr>
              <w:t xml:space="preserve">Health insurance</w:t>
            </w:r>
          </w:p>
        </w:tc>
        <w:tc>
          <w:tcPr>
            <w:tcW w:w="1800" w:type="dxa"/>
            <w:noWrap/>
          </w:tcPr>
          <w:p>
            <w:pPr>
              <w:jc w:val="center"/>
              <w:spacing w:line="240" w:lineRule="auto"/>
            </w:pPr>
            <w:r>
              <w:rPr/>
              <w:t xml:space="preserve">Yes (mentioned above)</w:t>
            </w:r>
          </w:p>
        </w:tc>
      </w:tr>
      <w:tr>
        <w:trPr/>
        <w:tc>
          <w:tcPr>
            <w:tcW w:w="1800" w:type="dxa"/>
            <w:noWrap/>
          </w:tcPr>
          <w:p>
            <w:pPr>
              <w:jc w:val="center"/>
              <w:spacing w:line="240" w:lineRule="auto"/>
            </w:pPr>
            <w:r>
              <w:rPr>
                <w:sz w:val="24"/>
                <w:szCs w:val="24"/>
                <w:b w:val="1"/>
                <w:bCs w:val="1"/>
              </w:rPr>
              <w:t xml:space="preserve">Disability insurance</w:t>
            </w:r>
          </w:p>
        </w:tc>
        <w:tc>
          <w:tcPr>
            <w:tcW w:w="1800" w:type="dxa"/>
            <w:noWrap/>
          </w:tcPr>
          <w:p>
            <w:pPr>
              <w:jc w:val="center"/>
              <w:spacing w:line="240" w:lineRule="auto"/>
            </w:pPr>
            <w:r>
              <w:rPr/>
              <w:t xml:space="preserve">Yes (includes in accident insurance mentioned above)</w:t>
            </w:r>
          </w:p>
        </w:tc>
      </w:tr>
      <w:tr>
        <w:trPr/>
        <w:tc>
          <w:tcPr>
            <w:tcW w:w="1800" w:type="dxa"/>
            <w:noWrap/>
          </w:tcPr>
          <w:p>
            <w:pPr>
              <w:jc w:val="center"/>
              <w:spacing w:line="240" w:lineRule="auto"/>
            </w:pPr>
            <w:r>
              <w:rPr>
                <w:sz w:val="24"/>
                <w:szCs w:val="24"/>
                <w:b w:val="1"/>
                <w:bCs w:val="1"/>
              </w:rPr>
              <w:t xml:space="preserve">Parental leave</w:t>
            </w:r>
          </w:p>
        </w:tc>
        <w:tc>
          <w:tcPr>
            <w:tcW w:w="1800" w:type="dxa"/>
            <w:noWrap/>
          </w:tcPr>
          <w:p>
            <w:pPr>
              <w:jc w:val="center"/>
              <w:spacing w:line="240" w:lineRule="auto"/>
            </w:pPr>
            <w:r>
              <w:rPr/>
              <w:t xml:space="preserve">Yes (mentioned above)</w:t>
            </w:r>
          </w:p>
        </w:tc>
      </w:tr>
      <w:tr>
        <w:trPr/>
        <w:tc>
          <w:tcPr>
            <w:tcW w:w="1800" w:type="dxa"/>
            <w:noWrap/>
          </w:tcPr>
          <w:p>
            <w:pPr>
              <w:jc w:val="center"/>
              <w:spacing w:line="240" w:lineRule="auto"/>
            </w:pPr>
            <w:r>
              <w:rPr>
                <w:sz w:val="24"/>
                <w:szCs w:val="24"/>
                <w:b w:val="1"/>
                <w:bCs w:val="1"/>
              </w:rPr>
              <w:t xml:space="preserve">Retirement provision</w:t>
            </w:r>
          </w:p>
        </w:tc>
        <w:tc>
          <w:tcPr>
            <w:tcW w:w="1800" w:type="dxa"/>
            <w:noWrap/>
          </w:tcPr>
          <w:p>
            <w:pPr>
              <w:jc w:val="center"/>
              <w:spacing w:line="240" w:lineRule="auto"/>
            </w:pPr>
            <w:r>
              <w:rPr/>
              <w:t xml:space="preserve">Yes (mentioned above - only for managers position)</w:t>
            </w:r>
          </w:p>
        </w:tc>
      </w:tr>
      <w:tr>
        <w:trPr/>
        <w:tc>
          <w:tcPr>
            <w:tcW w:w="1800" w:type="dxa"/>
            <w:noWrap/>
          </w:tcPr>
          <w:p>
            <w:pPr>
              <w:jc w:val="center"/>
              <w:spacing w:line="240" w:lineRule="auto"/>
            </w:pPr>
            <w:r>
              <w:rPr>
                <w:sz w:val="24"/>
                <w:szCs w:val="24"/>
                <w:b w:val="1"/>
                <w:bCs w:val="1"/>
              </w:rPr>
              <w:t xml:space="preserve">Employee stock ownership</w:t>
            </w:r>
          </w:p>
        </w:tc>
        <w:tc>
          <w:tcPr>
            <w:tcW w:w="1800" w:type="dxa"/>
            <w:noWrap/>
          </w:tcPr>
          <w:p>
            <w:pPr>
              <w:jc w:val="center"/>
              <w:spacing w:line="240" w:lineRule="auto"/>
            </w:pPr>
            <w:r>
              <w:rPr/>
              <w:t xml:space="preserve">Yes for some employees (this one is managed at Group level)</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spacing w:line="240" w:lineRule="auto"/>
      </w:pPr>
      <w:r>
        <w:rPr/>
        <w:t xml:space="preserve">答案：Timotion Europe (TME) values work–family balance and provides parental leave benefits in accordance with relevant local regulations.
Full-time unpaid parental leave may be taken until each child reaches the age of three.
Part-time parental leave, with a proportional reduction in pay, may also be taken until each child turns three.</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sz w:val="24"/>
                <w:szCs w:val="24"/>
                <w:b w:val="1"/>
                <w:bCs w:val="1"/>
              </w:rPr>
              <w:t xml:space="preserve">Number of employees eligible to apply for parental leave in 2025</w:t>
            </w:r>
          </w:p>
        </w:tc>
        <w:tc>
          <w:tcPr>
            <w:tcW w:w="1800" w:type="dxa"/>
            <w:noWrap/>
          </w:tcPr>
          <w:p>
            <w:pPr>
              <w:jc w:val="center"/>
              <w:spacing w:line="240" w:lineRule="auto"/>
            </w:pPr>
            <w:r>
              <w:rPr/>
              <w:t xml:space="preserve">63</w:t>
            </w:r>
          </w:p>
        </w:tc>
        <w:tc>
          <w:tcPr>
            <w:tcW w:w="1800" w:type="dxa"/>
            <w:noWrap/>
          </w:tcPr>
          <w:p>
            <w:pPr>
              <w:jc w:val="center"/>
              <w:spacing w:line="240" w:lineRule="auto"/>
            </w:pPr>
            <w:r>
              <w:rPr/>
              <w:t xml:space="preserve">32</w:t>
            </w:r>
          </w:p>
        </w:tc>
        <w:tc>
          <w:tcPr>
            <w:tcW w:w="1800" w:type="dxa"/>
            <w:noWrap/>
          </w:tcPr>
          <w:p>
            <w:pPr>
              <w:jc w:val="center"/>
              <w:spacing w:line="240" w:lineRule="auto"/>
            </w:pPr>
            <w:r>
              <w:rPr/>
              <w:t xml:space="preserve">All employees present in 2025 are considered because it is difficult to know who may or may not have children</w:t>
            </w:r>
          </w:p>
        </w:tc>
      </w:tr>
      <w:tr>
        <w:trPr/>
        <w:tc>
          <w:tcPr>
            <w:tcW w:w="1800" w:type="dxa"/>
            <w:noWrap/>
          </w:tcPr>
          <w:p>
            <w:pPr>
              <w:jc w:val="center"/>
              <w:spacing w:line="240" w:lineRule="auto"/>
            </w:pPr>
            <w:r>
              <w:rPr>
                <w:sz w:val="24"/>
                <w:szCs w:val="24"/>
                <w:b w:val="1"/>
                <w:bCs w:val="1"/>
              </w:rPr>
              <w:t xml:space="preserve">Number of employees who actually applied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 Male applied for a part-time parental leave for 3 months
1 Female applied for a full-time unpaid parental leave for 3 months and back to work with a part-time parental leave until his child reaches the age of three.</w:t>
            </w:r>
          </w:p>
        </w:tc>
      </w:tr>
      <w:tr>
        <w:trPr/>
        <w:tc>
          <w:tcPr>
            <w:tcW w:w="1800" w:type="dxa"/>
            <w:noWrap/>
          </w:tcPr>
          <w:p>
            <w:pPr>
              <w:jc w:val="center"/>
              <w:spacing w:line="240" w:lineRule="auto"/>
            </w:pPr>
            <w:r>
              <w:rPr>
                <w:sz w:val="24"/>
                <w:szCs w:val="24"/>
                <w:b w:val="1"/>
                <w:bCs w:val="1"/>
              </w:rPr>
              <w:t xml:space="preserve">Total number of employees scheduled to return to work in 2025 (A)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See above</w:t>
            </w:r>
          </w:p>
        </w:tc>
      </w:tr>
      <w:tr>
        <w:trPr/>
        <w:tc>
          <w:tcPr>
            <w:tcW w:w="1800" w:type="dxa"/>
            <w:noWrap/>
          </w:tcPr>
          <w:p>
            <w:pPr>
              <w:jc w:val="center"/>
              <w:spacing w:line="240" w:lineRule="auto"/>
            </w:pPr>
            <w:r>
              <w:rPr>
                <w:sz w:val="24"/>
                <w:szCs w:val="24"/>
                <w:b w:val="1"/>
                <w:bCs w:val="1"/>
              </w:rPr>
              <w:t xml:space="preserve">Total number of employees who returned to work in 2025 (B)</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See above</w:t>
            </w:r>
          </w:p>
        </w:tc>
      </w:tr>
      <w:tr>
        <w:trPr/>
        <w:tc>
          <w:tcPr>
            <w:tcW w:w="1800" w:type="dxa"/>
            <w:noWrap/>
          </w:tcPr>
          <w:p>
            <w:pPr>
              <w:jc w:val="center"/>
              <w:spacing w:line="240" w:lineRule="auto"/>
            </w:pPr>
            <w:r>
              <w:rPr>
                <w:sz w:val="24"/>
                <w:szCs w:val="24"/>
                <w:b w:val="1"/>
                <w:bCs w:val="1"/>
              </w:rPr>
              <w:t xml:space="preserve">Return-to-work rate in 2025 (B/A) (%) </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See above</w:t>
            </w:r>
          </w:p>
        </w:tc>
      </w:tr>
      <w:tr>
        <w:trPr/>
        <w:tc>
          <w:tcPr>
            <w:tcW w:w="1800" w:type="dxa"/>
            <w:noWrap/>
          </w:tcPr>
          <w:p>
            <w:pPr>
              <w:jc w:val="center"/>
              <w:spacing w:line="240" w:lineRule="auto"/>
            </w:pPr>
            <w:r>
              <w:rPr>
                <w:sz w:val="24"/>
                <w:szCs w:val="24"/>
                <w:b w:val="1"/>
                <w:bCs w:val="1"/>
              </w:rPr>
              <w:t xml:space="preserve">Total number of employees who returned to work in 2024 (C) </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 one affected in 2024</w:t>
            </w:r>
          </w:p>
        </w:tc>
      </w:tr>
      <w:tr>
        <w:trPr/>
        <w:tc>
          <w:tcPr>
            <w:tcW w:w="1800" w:type="dxa"/>
            <w:noWrap/>
          </w:tcPr>
          <w:p>
            <w:pPr>
              <w:jc w:val="center"/>
              <w:spacing w:line="240" w:lineRule="auto"/>
            </w:pPr>
            <w:r>
              <w:rPr>
                <w:sz w:val="24"/>
                <w:szCs w:val="24"/>
                <w:b w:val="1"/>
                <w:bCs w:val="1"/>
              </w:rPr>
              <w:t xml:space="preserve">Number of employees who remained employed for 12 months after returning to work in 2024 (D) </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 one affected in 2024</w:t>
            </w:r>
          </w:p>
        </w:tc>
      </w:tr>
      <w:tr>
        <w:trPr/>
        <w:tc>
          <w:tcPr>
            <w:tcW w:w="1800" w:type="dxa"/>
            <w:noWrap/>
          </w:tcPr>
          <w:p>
            <w:pPr>
              <w:jc w:val="center"/>
              <w:spacing w:line="240" w:lineRule="auto"/>
            </w:pPr>
            <w:r>
              <w:rPr>
                <w:sz w:val="24"/>
                <w:szCs w:val="24"/>
                <w:b w:val="1"/>
                <w:bCs w:val="1"/>
              </w:rPr>
              <w:t xml:space="preserve">Retention rate in 2025 (D/C) (%) </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 one affected in 2024</w:t>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spacing w:line="240" w:lineRule="auto"/>
      </w:pPr>
      <w:r>
        <w:rPr/>
        <w:t xml:space="preserve">答案：No</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r>
        <w:trPr/>
        <w:tc>
          <w:tcPr>
            <w:tcW w:w="1800" w:type="dxa"/>
            <w:noWrap/>
          </w:tcPr>
          <w:p>
            <w:pPr>
              <w:jc w:val="center"/>
              <w:spacing w:line="240" w:lineRule="auto"/>
            </w:pPr>
            <w:r>
              <w:rPr>
                <w:sz w:val="24"/>
                <w:szCs w:val="24"/>
                <w:b w:val="1"/>
                <w:bCs w:val="1"/>
              </w:rPr>
              <w:t xml:space="preserve">Employee Benefits – Workplace Stress Management</w:t>
            </w:r>
          </w:p>
        </w:tc>
        <w:tc>
          <w:tcPr>
            <w:tcW w:w="1800" w:type="dxa"/>
            <w:noWrap/>
          </w:tcPr>
          <w:p>
            <w:pPr>
              <w:jc w:val="center"/>
              <w:spacing w:line="240" w:lineRule="auto"/>
            </w:pPr>
            <w:r>
              <w:rPr/>
              <w:t xml:space="preserve">Yes - depending on the needs each year</w:t>
            </w:r>
          </w:p>
        </w:tc>
      </w:tr>
      <w:tr>
        <w:trPr/>
        <w:tc>
          <w:tcPr>
            <w:tcW w:w="1800" w:type="dxa"/>
            <w:noWrap/>
          </w:tcPr>
          <w:p>
            <w:pPr>
              <w:jc w:val="center"/>
              <w:spacing w:line="240" w:lineRule="auto"/>
            </w:pPr>
            <w:r>
              <w:rPr>
                <w:sz w:val="24"/>
                <w:szCs w:val="24"/>
                <w:b w:val="1"/>
                <w:bCs w:val="1"/>
              </w:rPr>
              <w:t xml:space="preserve">Employee Benefits – Exercise and Wellness Programs</w:t>
            </w:r>
          </w:p>
        </w:tc>
        <w:tc>
          <w:tcPr>
            <w:tcW w:w="1800" w:type="dxa"/>
            <w:noWrap/>
          </w:tcPr>
          <w:p>
            <w:pPr>
              <w:jc w:val="center"/>
              <w:spacing w:line="240" w:lineRule="auto"/>
            </w:pPr>
            <w:r>
              <w:rPr/>
              <w:t xml:space="preserve">No but we have a gym with showers available for employees</w:t>
            </w:r>
          </w:p>
        </w:tc>
      </w:tr>
      <w:tr>
        <w:trPr/>
        <w:tc>
          <w:tcPr>
            <w:tcW w:w="1800" w:type="dxa"/>
            <w:noWrap/>
          </w:tcPr>
          <w:p>
            <w:pPr>
              <w:jc w:val="center"/>
              <w:spacing w:line="240" w:lineRule="auto"/>
            </w:pPr>
            <w:r>
              <w:rPr>
                <w:sz w:val="24"/>
                <w:szCs w:val="24"/>
                <w:b w:val="1"/>
                <w:bCs w:val="1"/>
              </w:rPr>
              <w:t xml:space="preserve">Working Conditions – Flexible Working Hours</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Working Conditions – Work-from-Home Arrangements</w:t>
            </w:r>
          </w:p>
        </w:tc>
        <w:tc>
          <w:tcPr>
            <w:tcW w:w="1800" w:type="dxa"/>
            <w:noWrap/>
          </w:tcPr>
          <w:p>
            <w:pPr>
              <w:jc w:val="center"/>
              <w:spacing w:line="240" w:lineRule="auto"/>
            </w:pPr>
            <w:r>
              <w:rPr/>
              <w:t xml:space="preserve">Yes - 1 day per week</w:t>
            </w:r>
          </w:p>
        </w:tc>
      </w:tr>
      <w:tr>
        <w:trPr/>
        <w:tc>
          <w:tcPr>
            <w:tcW w:w="1800" w:type="dxa"/>
            <w:noWrap/>
          </w:tcPr>
          <w:p>
            <w:pPr>
              <w:jc w:val="center"/>
              <w:spacing w:line="240" w:lineRule="auto"/>
            </w:pPr>
            <w:r>
              <w:rPr>
                <w:sz w:val="24"/>
                <w:szCs w:val="24"/>
                <w:b w:val="1"/>
                <w:bCs w:val="1"/>
              </w:rPr>
              <w:t xml:space="preserve">Family Benefits – Childcare Facilities or Allowances</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Family Benefits – Lactation Rooms / Breastfeeding Facilities or Benefits</w:t>
            </w:r>
          </w:p>
        </w:tc>
        <w:tc>
          <w:tcPr>
            <w:tcW w:w="1800" w:type="dxa"/>
            <w:noWrap/>
          </w:tcPr>
          <w:p>
            <w:pPr>
              <w:jc w:val="center"/>
              <w:spacing w:line="240" w:lineRule="auto"/>
            </w:pPr>
            <w:r>
              <w:rPr/>
              <w:t xml:space="preserve">No lactation rooms but we allow women who have recently given birth to reduce their working hours to breastfeed, without loss of pay</w:t>
            </w:r>
          </w:p>
        </w:tc>
      </w:tr>
      <w:tr>
        <w:trPr/>
        <w:tc>
          <w:tcPr>
            <w:tcW w:w="1800" w:type="dxa"/>
            <w:noWrap/>
          </w:tcPr>
          <w:p>
            <w:pPr>
              <w:jc w:val="center"/>
              <w:spacing w:line="240" w:lineRule="auto"/>
            </w:pPr>
            <w:r>
              <w:rPr>
                <w:sz w:val="24"/>
                <w:szCs w:val="24"/>
                <w:b w:val="1"/>
                <w:bCs w:val="1"/>
              </w:rPr>
              <w:t xml:space="preserve">Family Benefits – Paid Parental Leave for Primary Caregivers (Please specify the total number of paid leave weeks provided to most employees)</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Family Benefits – Paid Parental Leave for Non-primary Caregivers (Please specify the total number of paid leave weeks provided to most employees)</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Family Benefits – Paid Family Care Leave (outside of parental leave) for caring for children, spouses/partners, dependents, parents, siblings, or other relatives with physical or mental health conditions</w:t>
            </w:r>
          </w:p>
        </w:tc>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spacing w:line="240" w:lineRule="auto"/>
      </w:pPr>
      <w:r>
        <w:rPr/>
        <w:t xml:space="preserve">答案：Not Applicable (N/A)</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spacing w:line="240" w:lineRule="auto"/>
      </w:pPr>
      <w:r>
        <w:rPr/>
        <w:t xml:space="preserve">答案：Not Applicable (N/A)</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spacing w:line="240" w:lineRule="auto"/>
      </w:pPr>
      <w:r>
        <w:rPr/>
        <w:t xml:space="preserve">答案：Diversity and multicultural exchange are part of our DNA due to differents internals cultures (Taïwanese, French, European).
We encourage diversity within our teams and regularly train our employees in foreign languages to facilitate internal communication.
We organize an annual teambuilding event to bring colleagues closer together.</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spacing w:line="240" w:lineRule="auto"/>
      </w:pPr>
      <w:r>
        <w:rPr/>
        <w:t xml:space="preserve">答案：As mentioned above, we grant :
- parental leave
- 1 sick days for children
- leave for significant family events (birth, marriage, death)
- flexible working hours for pregnant women to attend examinations or for women who are breastfeeding after childbirth</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spacing w:line="240" w:lineRule="auto"/>
      </w:pPr>
      <w:r>
        <w:rPr/>
        <w:t xml:space="preserve">答案：Please see section 6.3.2 Labor-Management Communication - Question 1</w:t>
      </w:r>
    </w:p>
    <w:p>
      <w:pPr/>
      <w:r>
        <w:rPr/>
        <w:t xml:space="preserve"/>
      </w:r>
    </w:p>
    <w:p>
      <w:pPr>
        <w:spacing w:line="240" w:lineRule="auto"/>
      </w:pPr>
      <w:r>
        <w:rPr>
          <w:sz w:val="28"/>
          <w:szCs w:val="28"/>
          <w:b w:val="1"/>
          <w:bCs w:val="1"/>
          <w:u w:val="single"/>
        </w:rPr>
        <w:t xml:space="preserve">Does your company have a regular labor–management negotiation mechanism?</w:t>
      </w:r>
    </w:p>
    <w:p>
      <w:pPr>
        <w:spacing w:line="240" w:lineRule="auto"/>
      </w:pPr>
      <w:r>
        <w:rPr/>
        <w:t xml:space="preserve">答案：Please see section 6.3.2 Labor-Management Communication - Question 1</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spacing w:line="240" w:lineRule="auto"/>
      </w:pPr>
      <w:r>
        <w:rPr/>
        <w:t xml:space="preserve">答案：Yes, new hires complete a "surprise report" after their first month of employment. 
This report is co-signed by the direct supervisor and sent to HR.</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spacing w:line="240" w:lineRule="auto"/>
      </w:pPr>
      <w:r>
        <w:rPr/>
        <w:t xml:space="preserve">答案：Yes, HR conduct an exit meeting interview with a report not mandatory for all deapartures, it's depends on the context of each employee who leave.
This report is co-signed by the employee who leave and HR.</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spacing w:line="240" w:lineRule="auto"/>
      </w:pPr>
      <w:r>
        <w:rPr/>
        <w:t xml:space="preserve">答案：In our Performance Evaluation Form, employees have access to an employee feedback session to assess the quality of working conditions, internal communication and the daily application of the Group's values.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spacing w:line="240" w:lineRule="auto"/>
      </w:pPr>
      <w:r>
        <w:rPr/>
        <w:t xml:space="preserve">答案：Timotion Europe (TME) is committed to building a professional team equipped with competitiveness and forward-looking capabilities.
For 2025, the company has established the following training plan :
- 1191 hours delivered
- 37 046€ committed
- 70 employees trained (with people who were able to follow more than one training course during the year)
- various training courses were organized: communication, language, software, security, development of operational skills, etc.</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Management</w:t>
            </w:r>
          </w:p>
        </w:tc>
        <w:tc>
          <w:tcPr>
            <w:tcW w:w="1800" w:type="dxa"/>
            <w:noWrap/>
          </w:tcPr>
          <w:p>
            <w:pPr>
              <w:jc w:val="center"/>
              <w:spacing w:line="240" w:lineRule="auto"/>
            </w:pPr>
            <w:r>
              <w:rPr/>
              <w:t xml:space="preserve">86</w:t>
            </w:r>
          </w:p>
        </w:tc>
        <w:tc>
          <w:tcPr>
            <w:tcW w:w="1800" w:type="dxa"/>
            <w:noWrap/>
          </w:tcPr>
          <w:p>
            <w:pPr>
              <w:jc w:val="center"/>
              <w:spacing w:line="240" w:lineRule="auto"/>
            </w:pPr>
            <w:r>
              <w:rPr/>
              <w:t xml:space="preserve">133</w:t>
            </w:r>
          </w:p>
        </w:tc>
        <w:tc>
          <w:tcPr>
            <w:tcW w:w="1800" w:type="dxa"/>
            <w:noWrap/>
          </w:tcPr>
          <w:p>
            <w:pPr>
              <w:jc w:val="center"/>
              <w:spacing w:line="240" w:lineRule="auto"/>
            </w:pPr>
            <w:r>
              <w:rPr/>
              <w:t xml:space="preserve">219</w:t>
            </w:r>
          </w:p>
        </w:tc>
        <w:tc>
          <w:tcPr>
            <w:tcW w:w="1800" w:type="dxa"/>
            <w:noWrap/>
          </w:tcPr>
          <w:p>
            <w:pPr>
              <w:jc w:val="center"/>
              <w:spacing w:line="240" w:lineRule="auto"/>
            </w:pPr>
            <w:r>
              <w:rPr/>
              <w:t xml:space="preserve">12.28h</w:t>
            </w:r>
          </w:p>
        </w:tc>
        <w:tc>
          <w:tcPr>
            <w:tcW w:w="1800" w:type="dxa"/>
            <w:noWrap/>
          </w:tcPr>
          <w:p>
            <w:pPr>
              <w:jc w:val="center"/>
              <w:spacing w:line="240" w:lineRule="auto"/>
            </w:pPr>
            <w:r>
              <w:rPr/>
              <w:t xml:space="preserve">22.17h</w:t>
            </w:r>
          </w:p>
        </w:tc>
        <w:tc>
          <w:tcPr>
            <w:tcW w:w="1800" w:type="dxa"/>
            <w:noWrap/>
          </w:tcPr>
          <w:p>
            <w:pPr>
              <w:jc w:val="center"/>
              <w:spacing w:line="240" w:lineRule="auto"/>
            </w:pPr>
            <w:r>
              <w:rPr/>
              <w:t xml:space="preserve">16.84h</w:t>
            </w:r>
          </w:p>
        </w:tc>
      </w:tr>
      <w:tr>
        <w:trPr/>
        <w:tc>
          <w:tcPr>
            <w:tcW w:w="1800" w:type="dxa"/>
            <w:noWrap/>
          </w:tcPr>
          <w:p>
            <w:pPr>
              <w:jc w:val="center"/>
              <w:spacing w:line="240" w:lineRule="auto"/>
            </w:pPr>
            <w:r>
              <w:rPr>
                <w:sz w:val="24"/>
                <w:szCs w:val="24"/>
                <w:b w:val="1"/>
                <w:bCs w:val="1"/>
              </w:rPr>
              <w:t xml:space="preserve">Non – Management</w:t>
            </w:r>
          </w:p>
        </w:tc>
        <w:tc>
          <w:tcPr>
            <w:tcW w:w="1800" w:type="dxa"/>
            <w:noWrap/>
          </w:tcPr>
          <w:p>
            <w:pPr>
              <w:jc w:val="center"/>
              <w:spacing w:line="240" w:lineRule="auto"/>
            </w:pPr>
            <w:r>
              <w:rPr/>
              <w:t xml:space="preserve">678</w:t>
            </w:r>
          </w:p>
        </w:tc>
        <w:tc>
          <w:tcPr>
            <w:tcW w:w="1800" w:type="dxa"/>
            <w:noWrap/>
          </w:tcPr>
          <w:p>
            <w:pPr>
              <w:jc w:val="center"/>
              <w:spacing w:line="240" w:lineRule="auto"/>
            </w:pPr>
            <w:r>
              <w:rPr/>
              <w:t xml:space="preserve">294</w:t>
            </w:r>
          </w:p>
        </w:tc>
        <w:tc>
          <w:tcPr>
            <w:tcW w:w="1800" w:type="dxa"/>
            <w:noWrap/>
          </w:tcPr>
          <w:p>
            <w:pPr>
              <w:jc w:val="center"/>
              <w:spacing w:line="240" w:lineRule="auto"/>
            </w:pPr>
            <w:r>
              <w:rPr/>
              <w:t xml:space="preserve">972</w:t>
            </w:r>
          </w:p>
        </w:tc>
        <w:tc>
          <w:tcPr>
            <w:tcW w:w="1800" w:type="dxa"/>
            <w:noWrap/>
          </w:tcPr>
          <w:p>
            <w:pPr>
              <w:jc w:val="center"/>
              <w:spacing w:line="240" w:lineRule="auto"/>
            </w:pPr>
            <w:r>
              <w:rPr/>
              <w:t xml:space="preserve">17.38h</w:t>
            </w:r>
          </w:p>
        </w:tc>
        <w:tc>
          <w:tcPr>
            <w:tcW w:w="1800" w:type="dxa"/>
            <w:noWrap/>
          </w:tcPr>
          <w:p>
            <w:pPr>
              <w:jc w:val="center"/>
              <w:spacing w:line="240" w:lineRule="auto"/>
            </w:pPr>
            <w:r>
              <w:rPr/>
              <w:t xml:space="preserve">16.33h</w:t>
            </w:r>
          </w:p>
        </w:tc>
        <w:tc>
          <w:tcPr>
            <w:tcW w:w="1800" w:type="dxa"/>
            <w:noWrap/>
          </w:tcPr>
          <w:p>
            <w:pPr>
              <w:jc w:val="center"/>
              <w:spacing w:line="240" w:lineRule="auto"/>
            </w:pPr>
            <w:r>
              <w:rPr/>
              <w:t xml:space="preserve">17.05h</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764</w:t>
            </w:r>
          </w:p>
        </w:tc>
        <w:tc>
          <w:tcPr>
            <w:tcW w:w="1800" w:type="dxa"/>
            <w:noWrap/>
          </w:tcPr>
          <w:p>
            <w:pPr>
              <w:jc w:val="center"/>
              <w:spacing w:line="240" w:lineRule="auto"/>
            </w:pPr>
            <w:r>
              <w:rPr/>
              <w:t xml:space="preserve">427
</w:t>
            </w:r>
          </w:p>
        </w:tc>
        <w:tc>
          <w:tcPr>
            <w:tcW w:w="1800" w:type="dxa"/>
            <w:noWrap/>
          </w:tcPr>
          <w:p>
            <w:pPr>
              <w:jc w:val="center"/>
              <w:spacing w:line="240" w:lineRule="auto"/>
            </w:pPr>
            <w:r>
              <w:rPr/>
              <w:t xml:space="preserve">1191</w:t>
            </w:r>
          </w:p>
        </w:tc>
        <w:tc>
          <w:tcPr>
            <w:tcW w:w="1800" w:type="dxa"/>
            <w:noWrap/>
          </w:tcPr>
          <w:p>
            <w:pPr>
              <w:jc w:val="center"/>
              <w:spacing w:line="240" w:lineRule="auto"/>
            </w:pPr>
            <w:r>
              <w:rPr/>
              <w:t xml:space="preserve">16.60h</w:t>
            </w:r>
          </w:p>
        </w:tc>
        <w:tc>
          <w:tcPr>
            <w:tcW w:w="1800" w:type="dxa"/>
            <w:noWrap/>
          </w:tcPr>
          <w:p>
            <w:pPr>
              <w:jc w:val="center"/>
              <w:spacing w:line="240" w:lineRule="auto"/>
            </w:pPr>
            <w:r>
              <w:rPr/>
              <w:t xml:space="preserve">17.79h</w:t>
            </w:r>
          </w:p>
        </w:tc>
        <w:tc>
          <w:tcPr>
            <w:tcW w:w="1800" w:type="dxa"/>
            <w:noWrap/>
          </w:tcPr>
          <w:p>
            <w:pPr>
              <w:jc w:val="center"/>
              <w:spacing w:line="240" w:lineRule="auto"/>
            </w:pPr>
            <w:r>
              <w:rPr/>
              <w:t xml:space="preserve">17h</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48</w:t>
            </w:r>
          </w:p>
        </w:tc>
        <w:tc>
          <w:tcPr>
            <w:tcW w:w="1800" w:type="dxa"/>
            <w:noWrap/>
          </w:tcPr>
          <w:p>
            <w:pPr>
              <w:jc w:val="center"/>
              <w:spacing w:line="240" w:lineRule="auto"/>
            </w:pPr>
            <w:r>
              <w:rPr/>
              <w:t xml:space="preserve">82</w:t>
            </w:r>
          </w:p>
        </w:tc>
        <w:tc>
          <w:tcPr>
            <w:tcW w:w="1800" w:type="dxa"/>
            <w:noWrap/>
          </w:tcPr>
          <w:p>
            <w:pPr>
              <w:jc w:val="center"/>
              <w:spacing w:line="240" w:lineRule="auto"/>
            </w:pPr>
            <w:r>
              <w:rPr/>
              <w:t xml:space="preserve">130</w:t>
            </w:r>
          </w:p>
        </w:tc>
        <w:tc>
          <w:tcPr>
            <w:tcW w:w="1800" w:type="dxa"/>
            <w:noWrap/>
          </w:tcPr>
          <w:p>
            <w:pPr>
              <w:jc w:val="center"/>
              <w:spacing w:line="240" w:lineRule="auto"/>
            </w:pPr>
            <w:r>
              <w:rPr/>
              <w:t xml:space="preserve">16h</w:t>
            </w:r>
          </w:p>
        </w:tc>
        <w:tc>
          <w:tcPr>
            <w:tcW w:w="1800" w:type="dxa"/>
            <w:noWrap/>
          </w:tcPr>
          <w:p>
            <w:pPr>
              <w:jc w:val="center"/>
              <w:spacing w:line="240" w:lineRule="auto"/>
            </w:pPr>
            <w:r>
              <w:rPr/>
              <w:t xml:space="preserve">16.4h</w:t>
            </w:r>
          </w:p>
        </w:tc>
        <w:tc>
          <w:tcPr>
            <w:tcW w:w="1800" w:type="dxa"/>
            <w:noWrap/>
          </w:tcPr>
          <w:p>
            <w:pPr>
              <w:jc w:val="center"/>
              <w:spacing w:line="240" w:lineRule="auto"/>
            </w:pPr>
            <w:r>
              <w:rPr/>
              <w:t xml:space="preserve">16.25h</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506</w:t>
            </w:r>
          </w:p>
        </w:tc>
        <w:tc>
          <w:tcPr>
            <w:tcW w:w="1800" w:type="dxa"/>
            <w:noWrap/>
          </w:tcPr>
          <w:p>
            <w:pPr>
              <w:jc w:val="center"/>
              <w:spacing w:line="240" w:lineRule="auto"/>
            </w:pPr>
            <w:r>
              <w:rPr/>
              <w:t xml:space="preserve">271</w:t>
            </w:r>
          </w:p>
        </w:tc>
        <w:tc>
          <w:tcPr>
            <w:tcW w:w="1800" w:type="dxa"/>
            <w:noWrap/>
          </w:tcPr>
          <w:p>
            <w:pPr>
              <w:jc w:val="center"/>
              <w:spacing w:line="240" w:lineRule="auto"/>
            </w:pPr>
            <w:r>
              <w:rPr/>
              <w:t xml:space="preserve">777</w:t>
            </w:r>
          </w:p>
        </w:tc>
        <w:tc>
          <w:tcPr>
            <w:tcW w:w="1800" w:type="dxa"/>
            <w:noWrap/>
          </w:tcPr>
          <w:p>
            <w:pPr>
              <w:jc w:val="center"/>
              <w:spacing w:line="240" w:lineRule="auto"/>
            </w:pPr>
            <w:r>
              <w:rPr/>
              <w:t xml:space="preserve">16.32h</w:t>
            </w:r>
          </w:p>
        </w:tc>
        <w:tc>
          <w:tcPr>
            <w:tcW w:w="1800" w:type="dxa"/>
            <w:noWrap/>
          </w:tcPr>
          <w:p>
            <w:pPr>
              <w:jc w:val="center"/>
              <w:spacing w:line="240" w:lineRule="auto"/>
            </w:pPr>
            <w:r>
              <w:rPr/>
              <w:t xml:space="preserve">18.07h</w:t>
            </w:r>
          </w:p>
        </w:tc>
        <w:tc>
          <w:tcPr>
            <w:tcW w:w="1800" w:type="dxa"/>
            <w:noWrap/>
          </w:tcPr>
          <w:p>
            <w:pPr>
              <w:jc w:val="center"/>
              <w:spacing w:line="240" w:lineRule="auto"/>
            </w:pPr>
            <w:r>
              <w:rPr/>
              <w:t xml:space="preserve">16.89h</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74</w:t>
            </w:r>
          </w:p>
        </w:tc>
        <w:tc>
          <w:tcPr>
            <w:tcW w:w="1800" w:type="dxa"/>
            <w:noWrap/>
          </w:tcPr>
          <w:p>
            <w:pPr>
              <w:jc w:val="center"/>
              <w:spacing w:line="240" w:lineRule="auto"/>
            </w:pPr>
            <w:r>
              <w:rPr/>
              <w:t xml:space="preserve">284</w:t>
            </w:r>
          </w:p>
        </w:tc>
        <w:tc>
          <w:tcPr>
            <w:tcW w:w="1800" w:type="dxa"/>
            <w:noWrap/>
          </w:tcPr>
          <w:p>
            <w:pPr>
              <w:jc w:val="center"/>
              <w:spacing w:line="240" w:lineRule="auto"/>
            </w:pPr>
            <w:r>
              <w:rPr/>
              <w:t xml:space="preserve">17.5h</w:t>
            </w:r>
          </w:p>
        </w:tc>
        <w:tc>
          <w:tcPr>
            <w:tcW w:w="1800" w:type="dxa"/>
            <w:noWrap/>
          </w:tcPr>
          <w:p>
            <w:pPr>
              <w:jc w:val="center"/>
              <w:spacing w:line="240" w:lineRule="auto"/>
            </w:pPr>
            <w:r>
              <w:rPr/>
              <w:t xml:space="preserve">18.5h</w:t>
            </w:r>
          </w:p>
        </w:tc>
        <w:tc>
          <w:tcPr>
            <w:tcW w:w="1800" w:type="dxa"/>
            <w:noWrap/>
          </w:tcPr>
          <w:p>
            <w:pPr>
              <w:jc w:val="center"/>
              <w:spacing w:line="240" w:lineRule="auto"/>
            </w:pPr>
            <w:r>
              <w:rPr/>
              <w:t xml:space="preserve">17.75h</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764</w:t>
            </w:r>
          </w:p>
        </w:tc>
        <w:tc>
          <w:tcPr>
            <w:tcW w:w="1800" w:type="dxa"/>
            <w:noWrap/>
          </w:tcPr>
          <w:p>
            <w:pPr>
              <w:jc w:val="center"/>
              <w:spacing w:line="240" w:lineRule="auto"/>
            </w:pPr>
            <w:r>
              <w:rPr/>
              <w:t xml:space="preserve">427</w:t>
            </w:r>
          </w:p>
        </w:tc>
        <w:tc>
          <w:tcPr>
            <w:tcW w:w="1800" w:type="dxa"/>
            <w:noWrap/>
          </w:tcPr>
          <w:p>
            <w:pPr>
              <w:jc w:val="center"/>
              <w:spacing w:line="240" w:lineRule="auto"/>
            </w:pPr>
            <w:r>
              <w:rPr/>
              <w:t xml:space="preserve">1191</w:t>
            </w:r>
          </w:p>
        </w:tc>
        <w:tc>
          <w:tcPr>
            <w:tcW w:w="1800" w:type="dxa"/>
            <w:noWrap/>
          </w:tcPr>
          <w:p>
            <w:pPr>
              <w:jc w:val="center"/>
              <w:spacing w:line="240" w:lineRule="auto"/>
            </w:pPr>
            <w:r>
              <w:rPr/>
              <w:t xml:space="preserve">16.60h</w:t>
            </w:r>
          </w:p>
        </w:tc>
        <w:tc>
          <w:tcPr>
            <w:tcW w:w="1800" w:type="dxa"/>
            <w:noWrap/>
          </w:tcPr>
          <w:p>
            <w:pPr>
              <w:jc w:val="center"/>
              <w:spacing w:line="240" w:lineRule="auto"/>
            </w:pPr>
            <w:r>
              <w:rPr/>
              <w:t xml:space="preserve">17.79h</w:t>
            </w:r>
          </w:p>
        </w:tc>
        <w:tc>
          <w:tcPr>
            <w:tcW w:w="1800" w:type="dxa"/>
            <w:noWrap/>
          </w:tcPr>
          <w:p>
            <w:pPr>
              <w:jc w:val="center"/>
              <w:spacing w:line="240" w:lineRule="auto"/>
            </w:pPr>
            <w:r>
              <w:rPr/>
              <w:t xml:space="preserve">17h</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r>
        <w:trPr/>
        <w:tc>
          <w:tcPr>
            <w:tcW w:w="1800" w:type="dxa"/>
            <w:noWrap/>
          </w:tcPr>
          <w:p>
            <w:pPr>
              <w:jc w:val="center"/>
              <w:spacing w:line="240" w:lineRule="auto"/>
            </w:pPr>
            <w:r>
              <w:rPr/>
              <w:t xml:space="preserve">Onboarding training</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Language training</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81</w:t>
            </w:r>
          </w:p>
        </w:tc>
        <w:tc>
          <w:tcPr>
            <w:tcW w:w="1800" w:type="dxa"/>
            <w:noWrap/>
          </w:tcPr>
          <w:p>
            <w:pPr>
              <w:jc w:val="center"/>
              <w:spacing w:line="240" w:lineRule="auto"/>
            </w:pPr>
            <w:r>
              <w:rPr/>
              <w:t xml:space="preserve">78</w:t>
            </w:r>
          </w:p>
        </w:tc>
      </w:tr>
      <w:tr>
        <w:trPr/>
        <w:tc>
          <w:tcPr>
            <w:tcW w:w="1800" w:type="dxa"/>
            <w:noWrap/>
          </w:tcPr>
          <w:p>
            <w:pPr>
              <w:jc w:val="center"/>
              <w:spacing w:line="240" w:lineRule="auto"/>
            </w:pPr>
            <w:r>
              <w:rPr/>
              <w:t xml:space="preserve">Software training</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80</w:t>
            </w:r>
          </w:p>
        </w:tc>
      </w:tr>
      <w:tr>
        <w:trPr/>
        <w:tc>
          <w:tcPr>
            <w:tcW w:w="1800" w:type="dxa"/>
            <w:noWrap/>
          </w:tcPr>
          <w:p>
            <w:pPr>
              <w:jc w:val="center"/>
              <w:spacing w:line="240" w:lineRule="auto"/>
            </w:pPr>
            <w:r>
              <w:rPr/>
              <w:t xml:space="preserve">Operationnal training</w:t>
            </w:r>
          </w:p>
        </w:tc>
        <w:tc>
          <w:tcPr>
            <w:tcW w:w="1800" w:type="dxa"/>
            <w:noWrap/>
          </w:tcPr>
          <w:p>
            <w:pPr>
              <w:jc w:val="center"/>
              <w:spacing w:line="240" w:lineRule="auto"/>
            </w:pPr>
            <w:r>
              <w:rPr/>
              <w:t xml:space="preserve">31</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43</w:t>
            </w:r>
          </w:p>
        </w:tc>
        <w:tc>
          <w:tcPr>
            <w:tcW w:w="1800" w:type="dxa"/>
            <w:noWrap/>
          </w:tcPr>
          <w:p>
            <w:pPr>
              <w:jc w:val="center"/>
              <w:spacing w:line="240" w:lineRule="auto"/>
            </w:pPr>
            <w:r>
              <w:rPr/>
              <w:t xml:space="preserve">376</w:t>
            </w:r>
          </w:p>
        </w:tc>
        <w:tc>
          <w:tcPr>
            <w:tcW w:w="1800" w:type="dxa"/>
            <w:noWrap/>
          </w:tcPr>
          <w:p>
            <w:pPr>
              <w:jc w:val="center"/>
              <w:spacing w:line="240" w:lineRule="auto"/>
            </w:pPr>
            <w:r>
              <w:rPr/>
              <w:t xml:space="preserve">150</w:t>
            </w:r>
          </w:p>
        </w:tc>
      </w:tr>
      <w:tr>
        <w:trPr/>
        <w:tc>
          <w:tcPr>
            <w:tcW w:w="1800" w:type="dxa"/>
            <w:noWrap/>
          </w:tcPr>
          <w:p>
            <w:pPr>
              <w:jc w:val="center"/>
              <w:spacing w:line="240" w:lineRule="auto"/>
            </w:pPr>
            <w:r>
              <w:rPr/>
              <w:t xml:space="preserve">Security/mandatory training</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77</w:t>
            </w:r>
          </w:p>
        </w:tc>
        <w:tc>
          <w:tcPr>
            <w:tcW w:w="1800" w:type="dxa"/>
            <w:noWrap/>
          </w:tcPr>
          <w:p>
            <w:pPr>
              <w:jc w:val="center"/>
              <w:spacing w:line="240" w:lineRule="auto"/>
            </w:pPr>
            <w:r>
              <w:rPr/>
              <w:t xml:space="preserve">119</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r>
        <w:trPr/>
        <w:tc>
          <w:tcPr>
            <w:tcW w:w="1800" w:type="dxa"/>
            <w:noWrap/>
          </w:tcPr>
          <w:p>
            <w:pPr>
              <w:jc w:val="center"/>
              <w:spacing w:line="240" w:lineRule="auto"/>
            </w:pPr>
            <w:r>
              <w:rPr/>
              <w:t xml:space="preserve">210</w:t>
            </w:r>
          </w:p>
        </w:tc>
      </w:tr>
      <w:tr>
        <w:trPr/>
        <w:tc>
          <w:tcPr>
            <w:tcW w:w="1800" w:type="dxa"/>
            <w:noWrap/>
          </w:tcPr>
          <w:p>
            <w:pPr>
              <w:jc w:val="center"/>
              <w:spacing w:line="240" w:lineRule="auto"/>
            </w:pPr>
            <w:r>
              <w:rPr/>
              <w:t xml:space="preserve">159</w:t>
            </w:r>
          </w:p>
        </w:tc>
      </w:tr>
      <w:tr>
        <w:trPr/>
        <w:tc>
          <w:tcPr>
            <w:tcW w:w="1800" w:type="dxa"/>
            <w:noWrap/>
          </w:tcPr>
          <w:p>
            <w:pPr>
              <w:jc w:val="center"/>
              <w:spacing w:line="240" w:lineRule="auto"/>
            </w:pPr>
            <w:r>
              <w:rPr/>
              <w:t xml:space="preserve">100</w:t>
            </w:r>
          </w:p>
        </w:tc>
      </w:tr>
      <w:tr>
        <w:trPr/>
        <w:tc>
          <w:tcPr>
            <w:tcW w:w="1800" w:type="dxa"/>
            <w:noWrap/>
          </w:tcPr>
          <w:p>
            <w:pPr>
              <w:jc w:val="center"/>
              <w:spacing w:line="240" w:lineRule="auto"/>
            </w:pPr>
            <w:r>
              <w:rPr/>
              <w:t xml:space="preserve">526</w:t>
            </w:r>
          </w:p>
        </w:tc>
      </w:tr>
      <w:tr>
        <w:trPr/>
        <w:tc>
          <w:tcPr>
            <w:tcW w:w="1800" w:type="dxa"/>
            <w:noWrap/>
          </w:tcPr>
          <w:p>
            <w:pPr>
              <w:jc w:val="center"/>
              <w:spacing w:line="240" w:lineRule="auto"/>
            </w:pPr>
            <w:r>
              <w:rPr/>
              <w:t xml:space="preserve">196</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r>
        <w:trPr/>
        <w:tc>
          <w:tcPr>
            <w:tcW w:w="1800" w:type="dxa"/>
            <w:noWrap/>
          </w:tcPr>
          <w:p>
            <w:pPr>
              <w:jc w:val="center"/>
              <w:spacing w:line="240" w:lineRule="auto"/>
            </w:pPr>
            <w:r>
              <w:rPr/>
              <w:t xml:space="preserve">Onboarding training</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Not Applicable (N/A)</w:t>
            </w:r>
          </w:p>
        </w:tc>
      </w:tr>
      <w:tr>
        <w:trPr/>
        <w:tc>
          <w:tcPr>
            <w:tcW w:w="1800" w:type="dxa"/>
            <w:noWrap/>
          </w:tcPr>
          <w:p>
            <w:pPr>
              <w:jc w:val="center"/>
              <w:spacing w:line="240" w:lineRule="auto"/>
            </w:pPr>
            <w:r>
              <w:rPr/>
              <w:t xml:space="preserve">Language training</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3510€</w:t>
            </w:r>
          </w:p>
        </w:tc>
        <w:tc>
          <w:tcPr>
            <w:tcW w:w="1800" w:type="dxa"/>
            <w:noWrap/>
          </w:tcPr>
          <w:p>
            <w:pPr>
              <w:jc w:val="center"/>
              <w:spacing w:line="240" w:lineRule="auto"/>
            </w:pPr>
            <w:r>
              <w:rPr/>
              <w:t xml:space="preserve">4977€</w:t>
            </w:r>
          </w:p>
        </w:tc>
      </w:tr>
      <w:tr>
        <w:trPr/>
        <w:tc>
          <w:tcPr>
            <w:tcW w:w="1800" w:type="dxa"/>
            <w:noWrap/>
          </w:tcPr>
          <w:p>
            <w:pPr>
              <w:jc w:val="center"/>
              <w:spacing w:line="240" w:lineRule="auto"/>
            </w:pPr>
            <w:r>
              <w:rPr/>
              <w:t xml:space="preserve">Software training</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450€</w:t>
            </w:r>
          </w:p>
        </w:tc>
        <w:tc>
          <w:tcPr>
            <w:tcW w:w="1800" w:type="dxa"/>
            <w:noWrap/>
          </w:tcPr>
          <w:p>
            <w:pPr>
              <w:jc w:val="center"/>
              <w:spacing w:line="240" w:lineRule="auto"/>
            </w:pPr>
            <w:r>
              <w:rPr/>
              <w:t xml:space="preserve">1800€</w:t>
            </w:r>
          </w:p>
        </w:tc>
      </w:tr>
      <w:tr>
        <w:trPr/>
        <w:tc>
          <w:tcPr>
            <w:tcW w:w="1800" w:type="dxa"/>
            <w:noWrap/>
          </w:tcPr>
          <w:p>
            <w:pPr>
              <w:jc w:val="center"/>
              <w:spacing w:line="240" w:lineRule="auto"/>
            </w:pPr>
            <w:r>
              <w:rPr/>
              <w:t xml:space="preserve">Operationnal training</w:t>
            </w:r>
          </w:p>
        </w:tc>
        <w:tc>
          <w:tcPr>
            <w:tcW w:w="1800" w:type="dxa"/>
            <w:noWrap/>
          </w:tcPr>
          <w:p>
            <w:pPr>
              <w:jc w:val="center"/>
              <w:spacing w:line="240" w:lineRule="auto"/>
            </w:pPr>
            <w:r>
              <w:rPr/>
              <w:t xml:space="preserve">31</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43</w:t>
            </w:r>
          </w:p>
        </w:tc>
        <w:tc>
          <w:tcPr>
            <w:tcW w:w="1800" w:type="dxa"/>
            <w:noWrap/>
          </w:tcPr>
          <w:p>
            <w:pPr>
              <w:jc w:val="center"/>
              <w:spacing w:line="240" w:lineRule="auto"/>
            </w:pPr>
            <w:r>
              <w:rPr/>
              <w:t xml:space="preserve">13776€</w:t>
            </w:r>
          </w:p>
        </w:tc>
        <w:tc>
          <w:tcPr>
            <w:tcW w:w="1800" w:type="dxa"/>
            <w:noWrap/>
          </w:tcPr>
          <w:p>
            <w:pPr>
              <w:jc w:val="center"/>
              <w:spacing w:line="240" w:lineRule="auto"/>
            </w:pPr>
            <w:r>
              <w:rPr/>
              <w:t xml:space="preserve">5822€</w:t>
            </w:r>
          </w:p>
        </w:tc>
      </w:tr>
      <w:tr>
        <w:trPr/>
        <w:tc>
          <w:tcPr>
            <w:tcW w:w="1800" w:type="dxa"/>
            <w:noWrap/>
          </w:tcPr>
          <w:p>
            <w:pPr>
              <w:jc w:val="center"/>
              <w:spacing w:line="240" w:lineRule="auto"/>
            </w:pPr>
            <w:r>
              <w:rPr/>
              <w:t xml:space="preserve">Security/mandatory training</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2498€</w:t>
            </w:r>
          </w:p>
        </w:tc>
        <w:tc>
          <w:tcPr>
            <w:tcW w:w="1800" w:type="dxa"/>
            <w:noWrap/>
          </w:tcPr>
          <w:p>
            <w:pPr>
              <w:jc w:val="center"/>
              <w:spacing w:line="240" w:lineRule="auto"/>
            </w:pPr>
            <w:r>
              <w:rPr/>
              <w:t xml:space="preserve">4213€</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r>
        <w:trPr/>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8487€</w:t>
            </w:r>
          </w:p>
        </w:tc>
      </w:tr>
      <w:tr>
        <w:trPr/>
        <w:tc>
          <w:tcPr>
            <w:tcW w:w="1800" w:type="dxa"/>
            <w:noWrap/>
          </w:tcPr>
          <w:p>
            <w:pPr>
              <w:jc w:val="center"/>
              <w:spacing w:line="240" w:lineRule="auto"/>
            </w:pPr>
            <w:r>
              <w:rPr/>
              <w:t xml:space="preserve">2250€</w:t>
            </w:r>
          </w:p>
        </w:tc>
      </w:tr>
      <w:tr>
        <w:trPr/>
        <w:tc>
          <w:tcPr>
            <w:tcW w:w="1800" w:type="dxa"/>
            <w:noWrap/>
          </w:tcPr>
          <w:p>
            <w:pPr>
              <w:jc w:val="center"/>
              <w:spacing w:line="240" w:lineRule="auto"/>
            </w:pPr>
            <w:r>
              <w:rPr/>
              <w:t xml:space="preserve">19598€</w:t>
            </w:r>
          </w:p>
        </w:tc>
      </w:tr>
      <w:tr>
        <w:trPr/>
        <w:tc>
          <w:tcPr>
            <w:tcW w:w="1800" w:type="dxa"/>
            <w:noWrap/>
          </w:tcPr>
          <w:p>
            <w:pPr>
              <w:jc w:val="center"/>
              <w:spacing w:line="240" w:lineRule="auto"/>
            </w:pPr>
            <w:r>
              <w:rPr/>
              <w:t xml:space="preserve">6711€</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spacing w:line="240" w:lineRule="auto"/>
      </w:pPr>
      <w:r>
        <w:rPr/>
        <w:t xml:space="preserve">答案：Our employee training programs that aim to upgrade skills can include:
- internal training courses (onboading training for exemple)
- funding support for external training or education
- the provision of sabbatical periods with guaranteed return to employment but nit applied for 2025</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spacing w:line="240" w:lineRule="auto"/>
      </w:pPr>
      <w:r>
        <w:rPr/>
        <w:t xml:space="preserve">答案：Not Applicable (N/A)</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r>
        <w:trPr/>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t xml:space="preserve">95.23%</w:t>
            </w:r>
          </w:p>
        </w:tc>
      </w:tr>
      <w:tr>
        <w:trPr/>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t xml:space="preserve">87.50%</w:t>
            </w:r>
          </w:p>
        </w:tc>
      </w:tr>
      <w:tr>
        <w:trPr/>
        <w:tc>
          <w:tcPr>
            <w:tcW w:w="1800" w:type="dxa"/>
            <w:noWrap/>
          </w:tcPr>
          <w:p>
            <w:pPr>
              <w:jc w:val="center"/>
              <w:spacing w:line="240" w:lineRule="auto"/>
            </w:pPr>
            <w:r>
              <w:rPr>
                <w:sz w:val="24"/>
                <w:szCs w:val="24"/>
                <w:b w:val="1"/>
                <w:bCs w:val="1"/>
              </w:rPr>
              <w:t xml:space="preserve">General Employees</w:t>
            </w:r>
          </w:p>
        </w:tc>
        <w:tc>
          <w:tcPr>
            <w:tcW w:w="1800" w:type="dxa"/>
            <w:noWrap/>
          </w:tcPr>
          <w:p>
            <w:pPr>
              <w:jc w:val="center"/>
              <w:spacing w:line="240" w:lineRule="auto"/>
            </w:pPr>
            <w:r>
              <w:rPr/>
              <w:t xml:space="preserve">92.63%</w:t>
            </w:r>
          </w:p>
        </w:tc>
      </w:tr>
      <w:tr>
        <w:trPr/>
        <w:tc>
          <w:tcPr>
            <w:tcW w:w="1800" w:type="dxa"/>
            <w:noWrap/>
          </w:tcPr>
          <w:p>
            <w:pPr>
              <w:jc w:val="center"/>
              <w:spacing w:line="240" w:lineRule="auto"/>
            </w:pPr>
            <w:r>
              <w:rPr>
                <w:sz w:val="24"/>
                <w:szCs w:val="24"/>
                <w:b w:val="1"/>
                <w:bCs w:val="1"/>
              </w:rPr>
              <w:t xml:space="preserve">Junior-level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Mid-level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Senior-level managers</w:t>
            </w:r>
          </w:p>
        </w:tc>
        <w:tc>
          <w:tcPr>
            <w:tcW w:w="1800" w:type="dxa"/>
            <w:noWrap/>
          </w:tcPr>
          <w:p>
            <w:pPr>
              <w:jc w:val="center"/>
              <w:spacing w:line="240" w:lineRule="auto"/>
            </w:pPr>
            <w:r>
              <w:rPr/>
              <w:t xml:space="preserve">100%</w:t>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spacing w:line="240" w:lineRule="auto"/>
      </w:pPr>
      <w:r>
        <w:rPr/>
        <w:t xml:space="preserve">答案：Yes, at the end of each training session, we evaluate several criteria to determine if it was beneficial for the employee and if we can use it again for other employees.
This survey allows us to highlight the strengths and areas for improvement of the training.</w:t>
      </w:r>
    </w:p>
    <w:p>
      <w:pPr/>
      <w:r>
        <w:rPr/>
        <w:t xml:space="preserve"/>
      </w:r>
    </w:p>
    <w:p>
      <w:pPr>
        <w:spacing w:line="240" w:lineRule="auto"/>
      </w:pPr>
      <w:r>
        <w:rPr>
          <w:sz w:val="28"/>
          <w:szCs w:val="28"/>
          <w:b w:val="1"/>
          <w:bCs w:val="1"/>
          <w:u w:val="single"/>
        </w:rPr>
        <w:t xml:space="preserve">Please describe your company’s onboarding training system for new employees.</w:t>
      </w:r>
    </w:p>
    <w:p>
      <w:pPr>
        <w:spacing w:line="240" w:lineRule="auto"/>
      </w:pPr>
      <w:r>
        <w:rPr/>
        <w:t xml:space="preserve">答案：New hires complete a "surprise report" after their first month of employment. 
This report is co-signed by the direct supervisor and sent to HR.
A review of the probationary period is also conducted with the manager at its end.
During their onboarding period, new employees receive training on our products (the level of training varies depending on the position) and are introduced to our internal work procedures and rules.</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spacing w:line="240" w:lineRule="auto"/>
      </w:pPr>
      <w:r>
        <w:rPr/>
        <w:t xml:space="preserve">答案：Same as Group process.
The objective of Timotion Europe (TME)’s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In 2025, all employees participad in the performance evaluation process, except 7 employees with less than three months of service or under determinate employment contract (question 8 above take into account for this 7 employees, that's why it's not 100% for General Employees).</w:t>
      </w:r>
    </w:p>
    <w:p>
      <w:pPr/>
      <w:r>
        <w:rPr/>
        <w:t xml:space="preserve"/>
      </w:r>
    </w:p>
    <w:p>
      <w:pPr>
        <w:spacing w:line="240" w:lineRule="auto"/>
      </w:pPr>
      <w:r>
        <w:rPr>
          <w:sz w:val="28"/>
          <w:szCs w:val="28"/>
          <w:b w:val="1"/>
          <w:bCs w:val="1"/>
          <w:u w:val="single"/>
        </w:rPr>
        <w:t xml:space="preserve">Please provide the content of the performance reviews.</w:t>
      </w:r>
    </w:p>
    <w:p>
      <w:pPr>
        <w:spacing w:line="240" w:lineRule="auto"/>
      </w:pPr>
      <w:r>
        <w:rPr/>
        <w:t xml:space="preserve">答案：The performance evaluation form contains the following sections:
- Goal plan to be completed by the employee and validated by the manager
- Personal development for requests regarding career advancement, job changes or training
- Employee assessment for evaluating the goal plan and the Group's values
- Employee feedback for the employee to express their level of satisfaction on various topics (please see section 6.3.3 Employee Benefit and Care - Question 15)</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2026-01-14T18:12:17+08:00</dcterms:created>
  <dcterms:modified xsi:type="dcterms:W3CDTF">2026-01-14T18:12:17+08:00</dcterms:modified>
</cp:coreProperties>
</file>

<file path=docProps/custom.xml><?xml version="1.0" encoding="utf-8"?>
<Properties xmlns="http://schemas.openxmlformats.org/officeDocument/2006/custom-properties" xmlns:vt="http://schemas.openxmlformats.org/officeDocument/2006/docPropsVTypes"/>
</file>