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TM-SUP-TMT-V1</w:t>
      </w:r>
    </w:p>
    <w:p>
      <w:pPr>
        <w:jc w:val="center"/>
        <w:spacing w:line="240" w:lineRule="auto"/>
      </w:pPr>
      <w:r>
        <w:rPr>
          <w:sz w:val="36"/>
          <w:szCs w:val="36"/>
        </w:rPr>
        <w:t xml:space="preserve">0. 供應商管理 重大主題管理方針</w:t>
      </w:r>
    </w:p>
    <w:p>
      <w:pPr/>
      <w:r>
        <w:rPr/>
        <w:t xml:space="preserve"/>
      </w:r>
    </w:p>
    <w:p>
      <w:pPr>
        <w:spacing w:line="240" w:lineRule="auto"/>
      </w:pPr>
      <w:r>
        <w:rPr>
          <w:sz w:val="28"/>
          <w:szCs w:val="28"/>
          <w:highlight w:val="lightGray"/>
        </w:rPr>
        <w:t xml:space="preserve">供應商管理是本公司重大主題。請依次回答以下問題</w:t>
      </w:r>
    </w:p>
    <w:p>
      <w:pPr>
        <w:spacing w:line="240" w:lineRule="auto"/>
      </w:pPr>
      <w:r>
        <w:rPr>
          <w:sz w:val="22"/>
          <w:szCs w:val="22"/>
        </w:rPr>
        <w:t xml:space="preserve">
</w:t>
      </w:r>
    </w:p>
    <w:p>
      <w:pPr/>
      <w:r>
        <w:rPr/>
        <w:t xml:space="preserve"/>
      </w:r>
    </w:p>
    <w:p>
      <w:pPr>
        <w:spacing w:line="240" w:lineRule="auto"/>
      </w:pPr>
      <w:r>
        <w:rPr>
          <w:sz w:val="28"/>
          <w:szCs w:val="28"/>
          <w:b w:val="1"/>
          <w:bCs w:val="1"/>
          <w:u w:val="single"/>
        </w:rPr>
        <w:t xml:space="preserve">重大主題管理方針 a.管理政策</w:t>
      </w:r>
    </w:p>
    <w:p>
      <w:pPr>
        <w:spacing w:line="240" w:lineRule="auto"/>
      </w:pPr>
      <w:r>
        <w:rPr>
          <w:sz w:val="22"/>
          <w:szCs w:val="22"/>
        </w:rPr>
        <w:t xml:space="preserve">2024年報告書提到的供應商管理內部政策: 請確認是否有需要修改處
1. 公司內部發行的《供應商管理規範》進行。
2. 本公司訂定《供應商社會責任承諾書》，要求供應商遵守本準則，並遵守其經營所在國家或地區的相關法律法規。</w:t>
      </w:r>
    </w:p>
    <w:p>
      <w:pPr>
        <w:spacing w:line="240" w:lineRule="auto"/>
      </w:pPr>
      <w:r>
        <w:rPr/>
        <w:t xml:space="preserve">答案：1.《供應商管理規範》需要修改，供應鏈管理尚在討論中
2.  未來針對重點供應商加入ESG相關條款</w:t>
      </w:r>
    </w:p>
    <w:p>
      <w:pPr/>
      <w:r>
        <w:rPr/>
        <w:t xml:space="preserve"/>
      </w:r>
    </w:p>
    <w:p>
      <w:pPr>
        <w:spacing w:line="240" w:lineRule="auto"/>
      </w:pPr>
      <w:r>
        <w:rPr>
          <w:sz w:val="28"/>
          <w:szCs w:val="28"/>
          <w:b w:val="1"/>
          <w:bCs w:val="1"/>
          <w:u w:val="single"/>
        </w:rPr>
        <w:t xml:space="preserve">重大主題管理方針 b. 管理承諾</w:t>
      </w:r>
    </w:p>
    <w:p>
      <w:pPr>
        <w:spacing w:line="240" w:lineRule="auto"/>
      </w:pPr>
      <w:r>
        <w:rPr>
          <w:sz w:val="22"/>
          <w:szCs w:val="22"/>
        </w:rPr>
        <w:t xml:space="preserve">2024年報告書提到的內容: 請確認是否有需要修改處
本公司制定供應商社會責任承諾書、，內容涵蓋以下人權與環保承諾
• 禁止強迫勞動
• 不使用童工
• 不歧視
• 提升環境績效</w:t>
      </w:r>
    </w:p>
    <w:p>
      <w:pPr>
        <w:spacing w:line="240" w:lineRule="auto"/>
      </w:pPr>
      <w:r>
        <w:rPr/>
        <w:t xml:space="preserve">答案：本公司制定供應商社會責任承諾書、，內容涵蓋以下人權與環保承諾
• 禁止強迫勞動
• 不使用童工
• 不歧視
• 提升環境績效
• ESG（重點供應商）</w:t>
      </w:r>
    </w:p>
    <w:p>
      <w:pPr/>
      <w:r>
        <w:rPr/>
        <w:t xml:space="preserve"/>
      </w:r>
    </w:p>
    <w:p>
      <w:pPr>
        <w:spacing w:line="240" w:lineRule="auto"/>
      </w:pPr>
      <w:r>
        <w:rPr>
          <w:sz w:val="28"/>
          <w:szCs w:val="28"/>
          <w:b w:val="1"/>
          <w:bCs w:val="1"/>
          <w:u w:val="single"/>
        </w:rPr>
        <w:t xml:space="preserve">重大主題管理方針 c. 權責單位</w:t>
      </w:r>
    </w:p>
    <w:p>
      <w:pPr>
        <w:spacing w:line="240" w:lineRule="auto"/>
      </w:pPr>
      <w:r>
        <w:rPr>
          <w:sz w:val="22"/>
          <w:szCs w:val="22"/>
        </w:rPr>
        <w:t xml:space="preserve">2024年報告書提到的內容: 請確認是否有需要修改處
採購工程部、採購部、品管部</w:t>
      </w:r>
    </w:p>
    <w:p>
      <w:pPr>
        <w:spacing w:line="240" w:lineRule="auto"/>
      </w:pPr>
      <w:r>
        <w:rPr/>
        <w:t xml:space="preserve">答案：採購工程部、採購部、品管部  不變</w:t>
      </w:r>
    </w:p>
    <w:p>
      <w:pPr/>
      <w:r>
        <w:rPr/>
        <w:t xml:space="preserve"/>
      </w:r>
    </w:p>
    <w:p>
      <w:pPr>
        <w:spacing w:line="240" w:lineRule="auto"/>
      </w:pPr>
      <w:r>
        <w:rPr>
          <w:sz w:val="28"/>
          <w:szCs w:val="28"/>
          <w:b w:val="1"/>
          <w:bCs w:val="1"/>
          <w:u w:val="single"/>
        </w:rPr>
        <w:t xml:space="preserve">重大主題管理方針 d. 確保行動有效作法</w:t>
      </w:r>
    </w:p>
    <w:p>
      <w:pPr>
        <w:spacing w:line="240" w:lineRule="auto"/>
      </w:pPr>
      <w:r>
        <w:rPr>
          <w:sz w:val="22"/>
          <w:szCs w:val="22"/>
        </w:rPr>
        <w:t xml:space="preserve">2024年報告書提到的內容: 請確認是否有需要修改處
1. 每月做供應商評比，並依評比結果做相應的管理動作
2. 每季度對評比不達標之供應商做評鑑及輔導</w:t>
      </w:r>
    </w:p>
    <w:p>
      <w:pPr>
        <w:spacing w:line="240" w:lineRule="auto"/>
      </w:pPr>
      <w:r>
        <w:rPr/>
        <w:t xml:space="preserve">答案：供應商評比項目需要再修改
1.針對供應商評比結果，會增加與未來業務量分配掛勾等條例
2.品管每季度對評比不達標有做評監及輔導(同時會有不定評監輔導）
3.未來對風險高、中、低不同級別的供應商，按現場或書面，不同頻率進行稽核</w:t>
      </w:r>
    </w:p>
    <w:p>
      <w:pPr/>
      <w:r>
        <w:rPr/>
        <w:t xml:space="preserve"/>
      </w:r>
    </w:p>
    <w:p>
      <w:pPr>
        <w:spacing w:line="240" w:lineRule="auto"/>
      </w:pPr>
      <w:r>
        <w:rPr>
          <w:sz w:val="28"/>
          <w:szCs w:val="28"/>
          <w:b w:val="1"/>
          <w:bCs w:val="1"/>
          <w:u w:val="single"/>
        </w:rPr>
        <w:t xml:space="preserve">重大主題管理方針 e. 供應商管理指標及短中長期目標</w:t>
      </w:r>
    </w:p>
    <w:p>
      <w:pPr>
        <w:spacing w:line="240" w:lineRule="auto"/>
      </w:pPr>
      <w:r>
        <w:rPr>
          <w:sz w:val="22"/>
          <w:szCs w:val="22"/>
        </w:rPr>
        <w:t xml:space="preserve">2024年報告書內容：
1. 每月做供應商評比，並依評比結果做出相應的管理行動；請說明哪些行動，例如限期改善?
2. 每季度針對評比不達標之供應商做評鑑及輔導，請說明哪些行動?
除上面提供內容，建議增加以下參考事項，請確認
將供應商分類為重要供應商與一般供應商；針對重要供應商需要加上ESG 合規為篩選條件。
針對供應商的管理，執行下列行動：
(1) 要求新供應商100%簽署企業責任條款；
(2) 定期執行供應商評鑑，除了產品品質，交期等品保需要查核的條件之外，將加上ESG 合規指標，要求供應商主動將環境，職安、人權等議題納入供應商定期評估項目
新增管理指標與目標參考範例：
(1) 新供應商100%簽署企業社會責任條款；
(2) 2025年規畫重新對供應商做分類並重新修訂《供應商管理規範》。
(3) 重要供應商的ESG社會與環境指標符合度調查，預計調查OO家</w:t>
      </w:r>
    </w:p>
    <w:p>
      <w:pPr>
        <w:spacing w:line="240" w:lineRule="auto"/>
      </w:pPr>
      <w:r>
        <w:rPr/>
        <w:t xml:space="preserve">答案：1. 每月供應商評比，依評比結果做出相應的管理行動；連續三個月C級和D級供應商，品管和采購針對得分不達標項目進行輔導改善
2. 每季度針對評比不達標之供應商做評鑑及輔導，會制訂供應商輔導表，供應商實訪調查表
新增管理指標與目標參考範例：
(1) 新供應商100%簽署企業社會責任條款；
(2) 2026年規畫重新對供應商做分類並重新修訂《供應商管理規範》。
(3) 重要供應商的ESG社會與環境指標符合度調查，預計調查10家
</w:t>
      </w:r>
    </w:p>
    <w:p>
      <w:pPr/>
      <w:r>
        <w:rPr/>
        <w:t xml:space="preserve"/>
      </w:r>
    </w:p>
    <w:p>
      <w:pPr>
        <w:spacing w:line="240" w:lineRule="auto"/>
      </w:pPr>
      <w:r>
        <w:rPr>
          <w:sz w:val="28"/>
          <w:szCs w:val="28"/>
          <w:b w:val="1"/>
          <w:bCs w:val="1"/>
          <w:u w:val="single"/>
        </w:rPr>
        <w:t xml:space="preserve">e. 供應商管理指標補充量化指標
(先填答後經主管討論後確認)</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2025(目標)</w:t>
            </w:r>
          </w:p>
        </w:tc>
        <w:tc>
          <w:tcPr>
            <w:tcW w:w="1800" w:type="dxa"/>
            <w:noWrap/>
          </w:tcPr>
          <w:p>
            <w:pPr>
              <w:jc w:val="center"/>
              <w:spacing w:line="240" w:lineRule="auto"/>
            </w:pPr>
            <w:r>
              <w:rPr>
                <w:sz w:val="24"/>
                <w:szCs w:val="24"/>
                <w:b w:val="1"/>
                <w:bCs w:val="1"/>
              </w:rPr>
              <w:t xml:space="preserve">2025(實際)</w:t>
            </w:r>
          </w:p>
        </w:tc>
        <w:tc>
          <w:tcPr>
            <w:tcW w:w="1800" w:type="dxa"/>
            <w:noWrap/>
          </w:tcPr>
          <w:p>
            <w:pPr>
              <w:jc w:val="center"/>
              <w:spacing w:line="240" w:lineRule="auto"/>
            </w:pPr>
            <w:r>
              <w:rPr>
                <w:sz w:val="24"/>
                <w:szCs w:val="24"/>
                <w:b w:val="1"/>
                <w:bCs w:val="1"/>
              </w:rPr>
              <w:t xml:space="preserve">2026</w:t>
            </w:r>
          </w:p>
        </w:tc>
        <w:tc>
          <w:tcPr>
            <w:tcW w:w="1800" w:type="dxa"/>
            <w:noWrap/>
          </w:tcPr>
          <w:p>
            <w:pPr>
              <w:jc w:val="center"/>
              <w:spacing w:line="240" w:lineRule="auto"/>
            </w:pPr>
            <w:r>
              <w:rPr>
                <w:sz w:val="24"/>
                <w:szCs w:val="24"/>
                <w:b w:val="1"/>
                <w:bCs w:val="1"/>
              </w:rPr>
              <w:t xml:space="preserve">2030</w:t>
            </w:r>
          </w:p>
        </w:tc>
        <w:tc>
          <w:tcPr>
            <w:tcW w:w="1800" w:type="dxa"/>
            <w:noWrap/>
          </w:tcPr>
          <w:p>
            <w:pPr>
              <w:jc w:val="center"/>
              <w:spacing w:line="240" w:lineRule="auto"/>
            </w:pPr>
            <w:r>
              <w:rPr>
                <w:sz w:val="24"/>
                <w:szCs w:val="24"/>
                <w:b w:val="1"/>
                <w:bCs w:val="1"/>
              </w:rPr>
              <w:t xml:space="preserve">其他年度</w:t>
            </w:r>
          </w:p>
        </w:tc>
      </w:tr>
      <w:tr>
        <w:trPr/>
        <w:tc>
          <w:tcPr>
            <w:tcW w:w="1800" w:type="dxa"/>
            <w:noWrap/>
          </w:tcPr>
          <w:p>
            <w:pPr>
              <w:jc w:val="center"/>
              <w:spacing w:line="240" w:lineRule="auto"/>
            </w:pPr>
            <w:r>
              <w:rPr>
                <w:sz w:val="24"/>
                <w:szCs w:val="24"/>
                <w:b w:val="1"/>
                <w:bCs w:val="1"/>
              </w:rPr>
              <w:t xml:space="preserve">《供應商管理規範》裡面內含社會與環境指標評估方式</w:t>
            </w:r>
          </w:p>
        </w:tc>
        <w:tc>
          <w:tcPr>
            <w:tcW w:w="1800" w:type="dxa"/>
            <w:noWrap/>
          </w:tcPr>
          <w:p>
            <w:pPr>
              <w:jc w:val="center"/>
              <w:spacing w:line="240" w:lineRule="auto"/>
            </w:pPr>
            <w:r>
              <w:rPr/>
              <w:t xml:space="preserve">不清楚</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修訂給供應商簽署的《供應商社會責任承諾書》內含社會與環境指標</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新供應商100%簽署《供應商社會責任承諾書》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既有供應商通知更新《供應商社會責任承諾書》內含社會與環境指標</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既有供應商簽名回傳《供應商社會責任承諾書》內含社會與環境指標</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年度供應商稽核包含社會與環境指標</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2025年共進行幾家(包含社會與環境指標)的供應商稽核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重大主題管理方針 f. 2025年供應商管理執行成效
</w:t>
      </w:r>
    </w:p>
    <w:p>
      <w:pPr>
        <w:spacing w:line="240" w:lineRule="auto"/>
      </w:pPr>
      <w:r>
        <w:rPr>
          <w:sz w:val="22"/>
          <w:szCs w:val="22"/>
        </w:rPr>
        <w:t xml:space="preserve">參考範例：
(1) 新供應商100%簽署企業社會責任條款；
(2) 2025年規畫重新對供應商做分類並重新修訂《供應商管理規範》。
(3) 重要供應商的ESG社會與環境指標符合度調查，預計調查OO家
 實地評鑑OO家(包含OO家國外供應商)、書面評鑑OO家供應商。
 評核次數：O次/年
 評核家數：OO家 (以重要供應商為主)
 評核合格率：OO%
 不合格供應商六個月內改善追蹤： OO 家。</w:t>
      </w:r>
    </w:p>
    <w:p>
      <w:pPr>
        <w:spacing w:line="240" w:lineRule="auto"/>
      </w:pPr>
      <w:r>
        <w:rPr/>
        <w:t xml:space="preserve">答案：(1) 新供應商100%簽署企業社會責任條款；
(2) 2026年規畫重新對供應商做分類並重新修訂《供應商管理規範》。
(3) 重要供應商的ESG社會與環境指標符合度調查，預計調查10家</w:t>
      </w:r>
    </w:p>
    <w:p>
      <w:pPr/>
      <w:r>
        <w:rPr/>
        <w:t xml:space="preserve"/>
      </w:r>
    </w:p>
    <w:p>
      <w:pPr>
        <w:spacing w:line="240" w:lineRule="auto"/>
      </w:pPr>
      <w:r>
        <w:rPr>
          <w:sz w:val="28"/>
          <w:szCs w:val="28"/>
          <w:b w:val="1"/>
          <w:bCs w:val="1"/>
          <w:u w:val="single"/>
        </w:rPr>
        <w:t xml:space="preserve">請問針對供應商，本公司不同部門多久與供應商溝通一次?透過甚麼模式、頻率及負責單位執行? </w:t>
      </w:r>
    </w:p>
    <w:p>
      <w:pPr>
        <w:spacing w:line="240" w:lineRule="auto"/>
      </w:pPr>
      <w:r>
        <w:rPr>
          <w:sz w:val="22"/>
          <w:szCs w:val="22"/>
        </w:rPr>
        <w:t xml:space="preserve">頻率：每月/每季/每年/不定期
方式：如每季召開會議、每年於網站公開XXX數據資訊</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部門名稱</w:t>
            </w:r>
          </w:p>
        </w:tc>
        <w:tc>
          <w:tcPr>
            <w:tcW w:w="1800" w:type="dxa"/>
            <w:noWrap/>
          </w:tcPr>
          <w:p>
            <w:pPr>
              <w:jc w:val="center"/>
              <w:spacing w:line="240" w:lineRule="auto"/>
            </w:pPr>
            <w:r>
              <w:rPr>
                <w:sz w:val="24"/>
                <w:szCs w:val="24"/>
                <w:b w:val="1"/>
                <w:bCs w:val="1"/>
              </w:rPr>
              <w:t xml:space="preserve">溝通方式</w:t>
            </w:r>
          </w:p>
        </w:tc>
        <w:tc>
          <w:tcPr>
            <w:tcW w:w="1800" w:type="dxa"/>
            <w:noWrap/>
          </w:tcPr>
          <w:p>
            <w:pPr>
              <w:jc w:val="center"/>
              <w:spacing w:line="240" w:lineRule="auto"/>
            </w:pPr>
            <w:r>
              <w:rPr>
                <w:sz w:val="24"/>
                <w:szCs w:val="24"/>
                <w:b w:val="1"/>
                <w:bCs w:val="1"/>
              </w:rPr>
              <w:t xml:space="preserve">溝通頻率</w:t>
            </w:r>
          </w:p>
        </w:tc>
      </w:tr>
      <w:tr>
        <w:trPr/>
        <w:tc>
          <w:tcPr>
            <w:tcW w:w="1800" w:type="dxa"/>
            <w:noWrap/>
          </w:tcPr>
          <w:p>
            <w:pPr>
              <w:jc w:val="center"/>
              <w:spacing w:line="240" w:lineRule="auto"/>
            </w:pPr>
            <w:r>
              <w:rPr>
                <w:sz w:val="24"/>
                <w:szCs w:val="24"/>
                <w:b w:val="1"/>
                <w:bCs w:val="1"/>
              </w:rPr>
              <w:t xml:space="preserve">部門1</w:t>
            </w:r>
          </w:p>
        </w:tc>
        <w:tc>
          <w:tcPr>
            <w:tcW w:w="1800" w:type="dxa"/>
            <w:noWrap/>
          </w:tcPr>
          <w:p>
            <w:pPr>
              <w:jc w:val="center"/>
              <w:spacing w:line="240" w:lineRule="auto"/>
            </w:pPr>
            <w:r>
              <w:rPr/>
              <w:t xml:space="preserve">采購部</w:t>
            </w:r>
          </w:p>
        </w:tc>
        <w:tc>
          <w:tcPr>
            <w:tcW w:w="1800" w:type="dxa"/>
            <w:noWrap/>
          </w:tcPr>
          <w:p>
            <w:pPr>
              <w:jc w:val="center"/>
              <w:spacing w:line="240" w:lineRule="auto"/>
            </w:pPr>
            <w:r>
              <w:rPr/>
              <w:t xml:space="preserve">郵件 (每月評比結果）
微信（日常事務）
電話（日常緊急事務）</w:t>
            </w:r>
          </w:p>
        </w:tc>
        <w:tc>
          <w:tcPr>
            <w:tcW w:w="1800" w:type="dxa"/>
            <w:noWrap/>
          </w:tcPr>
          <w:p>
            <w:pPr>
              <w:jc w:val="center"/>
              <w:spacing w:line="240" w:lineRule="auto"/>
            </w:pPr>
            <w:r>
              <w:rPr/>
              <w:t xml:space="preserve">每月、每日、不定期</w:t>
            </w:r>
          </w:p>
        </w:tc>
      </w:tr>
      <w:tr>
        <w:trPr/>
        <w:tc>
          <w:tcPr>
            <w:tcW w:w="1800" w:type="dxa"/>
            <w:noWrap/>
          </w:tcPr>
          <w:p>
            <w:pPr>
              <w:jc w:val="center"/>
              <w:spacing w:line="240" w:lineRule="auto"/>
            </w:pPr>
            <w:r>
              <w:rPr>
                <w:sz w:val="24"/>
                <w:szCs w:val="24"/>
                <w:b w:val="1"/>
                <w:bCs w:val="1"/>
              </w:rPr>
              <w:t xml:space="preserve">部門2</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部門3與其他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請將供應商管理的政策上傳至TiMOTION公用區，完成後請勾選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供應商管理政策</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 供應商分類與風險管理</w:t>
      </w:r>
    </w:p>
    <w:p>
      <w:pPr/>
      <w:r>
        <w:rPr/>
        <w:t xml:space="preserve"/>
      </w:r>
    </w:p>
    <w:p>
      <w:pPr>
        <w:spacing w:line="240" w:lineRule="auto"/>
      </w:pPr>
      <w:r>
        <w:rPr>
          <w:sz w:val="28"/>
          <w:szCs w:val="28"/>
          <w:b w:val="1"/>
          <w:bCs w:val="1"/>
          <w:u w:val="single"/>
        </w:rPr>
        <w:t xml:space="preserve">原物料在地採購 (在地定義: 以區域來定義)
(在地採購金額/總採購金額)</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請填寫所在地</w:t>
            </w:r>
          </w:p>
        </w:tc>
        <w:tc>
          <w:tcPr>
            <w:tcW w:w="1800" w:type="dxa"/>
            <w:noWrap/>
          </w:tcPr>
          <w:p>
            <w:pPr>
              <w:jc w:val="center"/>
              <w:spacing w:line="240" w:lineRule="auto"/>
            </w:pPr>
            <w:r>
              <w:rPr>
                <w:sz w:val="24"/>
                <w:szCs w:val="24"/>
                <w:b w:val="1"/>
                <w:bCs w:val="1"/>
              </w:rPr>
              <w:t xml:space="preserve">當地採購-中國大陸(%)</w:t>
            </w:r>
          </w:p>
        </w:tc>
        <w:tc>
          <w:tcPr>
            <w:tcW w:w="1800" w:type="dxa"/>
            <w:noWrap/>
          </w:tcPr>
          <w:p>
            <w:pPr>
              <w:jc w:val="center"/>
              <w:spacing w:line="240" w:lineRule="auto"/>
            </w:pPr>
            <w:r>
              <w:rPr>
                <w:sz w:val="24"/>
                <w:szCs w:val="24"/>
                <w:b w:val="1"/>
                <w:bCs w:val="1"/>
              </w:rPr>
              <w:t xml:space="preserve">非當地採購-台灣(%)</w:t>
            </w:r>
          </w:p>
        </w:tc>
        <w:tc>
          <w:tcPr>
            <w:tcW w:w="1800" w:type="dxa"/>
            <w:noWrap/>
          </w:tcPr>
          <w:p>
            <w:pPr>
              <w:jc w:val="center"/>
              <w:spacing w:line="240" w:lineRule="auto"/>
            </w:pPr>
            <w:r>
              <w:rPr>
                <w:sz w:val="24"/>
                <w:szCs w:val="24"/>
                <w:b w:val="1"/>
                <w:bCs w:val="1"/>
              </w:rPr>
              <w:t xml:space="preserve">非當地採購-美洲(%)</w:t>
            </w:r>
          </w:p>
        </w:tc>
        <w:tc>
          <w:tcPr>
            <w:tcW w:w="1800" w:type="dxa"/>
            <w:noWrap/>
          </w:tcPr>
          <w:p>
            <w:pPr>
              <w:jc w:val="center"/>
              <w:spacing w:line="240" w:lineRule="auto"/>
            </w:pPr>
            <w:r>
              <w:rPr>
                <w:sz w:val="24"/>
                <w:szCs w:val="24"/>
                <w:b w:val="1"/>
                <w:bCs w:val="1"/>
              </w:rPr>
              <w:t xml:space="preserve">非當地採購-歐洲(%)</w:t>
            </w:r>
          </w:p>
        </w:tc>
        <w:tc>
          <w:tcPr>
            <w:tcW w:w="1800" w:type="dxa"/>
            <w:noWrap/>
          </w:tcPr>
          <w:p>
            <w:pPr>
              <w:jc w:val="center"/>
              <w:spacing w:line="240" w:lineRule="auto"/>
            </w:pPr>
            <w:r>
              <w:rPr>
                <w:sz w:val="24"/>
                <w:szCs w:val="24"/>
                <w:b w:val="1"/>
                <w:bCs w:val="1"/>
              </w:rPr>
              <w:t xml:space="preserve">其他地區</w:t>
            </w:r>
          </w:p>
        </w:tc>
      </w:tr>
      <w:tr>
        <w:trPr/>
        <w:tc>
          <w:tcPr>
            <w:tcW w:w="1800" w:type="dxa"/>
            <w:noWrap/>
          </w:tcPr>
          <w:p>
            <w:pPr>
              <w:jc w:val="center"/>
              <w:spacing w:line="240" w:lineRule="auto"/>
            </w:pPr>
            <w:r>
              <w:rPr/>
              <w:t xml:space="preserve">東莞堤摩訊-東莞廠</w:t>
            </w:r>
          </w:p>
        </w:tc>
        <w:tc>
          <w:tcPr>
            <w:tcW w:w="1800" w:type="dxa"/>
            <w:noWrap/>
          </w:tcPr>
          <w:p>
            <w:pPr>
              <w:jc w:val="center"/>
              <w:spacing w:line="240" w:lineRule="auto"/>
            </w:pPr>
            <w:r>
              <w:rPr/>
              <w:t xml:space="preserve">以2024年為例    （不含內部廠商）
98.28%</w:t>
            </w:r>
          </w:p>
        </w:tc>
        <w:tc>
          <w:tcPr>
            <w:tcW w:w="1800" w:type="dxa"/>
            <w:noWrap/>
          </w:tcPr>
          <w:p>
            <w:pPr>
              <w:jc w:val="center"/>
              <w:spacing w:line="240" w:lineRule="auto"/>
            </w:pPr>
            <w:r>
              <w:rPr/>
              <w:t xml:space="preserve">以2024年為例    （不含內部廠商）
1.72%</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最近一年內供應鏈有沒有發生重大改變(例如市場趨勢，法規，組織規模、結構、所有權等)? 
請說明任何有關組織規模、結構、所有權或供應鏈的任何重大變化。包括：廠房、設備的)啟用或擴充、股本結構的改變與其他資本的構成、供應商所在地、供應商結構或與供應商關係的改變</w:t>
      </w:r>
    </w:p>
    <w:p>
      <w:pPr>
        <w:spacing w:line="240" w:lineRule="auto"/>
      </w:pPr>
      <w:r>
        <w:rPr>
          <w:sz w:val="22"/>
          <w:szCs w:val="22"/>
        </w:rPr>
        <w:t xml:space="preserve">參考範例：
1.本公司於過去一年內之組織規模、架構、所有權及供應鏈皆未有重大變更。現行營運據點、主要供應商及關鍵合作夥伴維持穩定，僅進行例行性供應商審查與合約更新作業，無影響營運之重大異動。
2.本公司於 2023 年底完成越南新生產據點的設立，以分散供應鏈風險並提升國際市場競爭力。此變動使集團員工總數增加約 3%，供應鏈管理亦範圍亦隨之擴大。</w:t>
      </w:r>
    </w:p>
    <w:p>
      <w:pPr>
        <w:spacing w:line="240" w:lineRule="auto"/>
      </w:pPr>
      <w:r>
        <w:rPr/>
        <w:t xml:space="preserve">答案：1.本公司於過去一年內之組織規模、架構、所有權及供應鏈皆未有重大變更。現行營運據點、主要供應商及關鍵合作夥伴維持穩定，僅進行例行性供應商審查與合約更新作業，無影響營運之重大異動。
2.本公司於 2026年底完成越南新生產據點的設立，以分散供應鏈風險並提升國際市場競爭力。此變動使集團員工總數增加約 3%，供應鏈管理亦範圍亦隨之擴大。
3.本公司于2026年初完成八廠和九廠的設立，八廠增加塑膠件自制率分散外部供應風險，降低成本；九廠主要生產四大產業線之一醫療產品</w:t>
      </w:r>
    </w:p>
    <w:p>
      <w:pPr/>
      <w:r>
        <w:rPr/>
        <w:t xml:space="preserve"/>
      </w:r>
    </w:p>
    <w:p>
      <w:pPr>
        <w:spacing w:line="240" w:lineRule="auto"/>
      </w:pPr>
      <w:r>
        <w:rPr>
          <w:sz w:val="28"/>
          <w:szCs w:val="28"/>
          <w:b w:val="1"/>
          <w:bCs w:val="1"/>
          <w:u w:val="single"/>
        </w:rPr>
        <w:t xml:space="preserve">經濟與市場、匯率變化等風險: 請問全球經濟變化、中美貿易關係、匯率變化等是否影響本公司供應鏈，包括材料取得、運輸方式改變等</w:t>
      </w:r>
    </w:p>
    <w:p>
      <w:pPr>
        <w:spacing w:line="240" w:lineRule="auto"/>
      </w:pPr>
      <w:r>
        <w:rPr/>
        <w:t xml:space="preserve">答案：1.25/10/22-中荷贸易和政治博弈的影响，2060-20310-MMBZ5V6AL 在東莞黃江生產完無法出貨，后找替代料2060-20310-MMBZ5V6AL -2
2.2025/12/8中荷贸易和政治博弈的影响,20206-BSS84AK（现安世（NEXPERIA）的产品在大陆供货仍未得到有效缓解（缺晶圆）</w:t>
      </w:r>
    </w:p>
    <w:p>
      <w:pPr/>
      <w:r>
        <w:rPr/>
        <w:t xml:space="preserve"/>
      </w:r>
    </w:p>
    <w:p>
      <w:pPr>
        <w:spacing w:line="240" w:lineRule="auto"/>
      </w:pPr>
      <w:r>
        <w:rPr>
          <w:sz w:val="28"/>
          <w:szCs w:val="28"/>
          <w:b w:val="1"/>
          <w:bCs w:val="1"/>
          <w:u w:val="single"/>
        </w:rPr>
        <w:t xml:space="preserve">環境與氣候風險: 請問氣候變遷與極端氣候變化是否影響本公司供應鏈，包括材料取得、運輸方式改變等</w:t>
      </w:r>
    </w:p>
    <w:p>
      <w:pPr>
        <w:spacing w:line="240" w:lineRule="auto"/>
      </w:pPr>
      <w:r>
        <w:rPr/>
        <w:t xml:space="preserve">答案：2025/8/5-2025/8/7----廣東暴雨，馳崴騰工廠被淹停機，011防擺環斷貨
2025/9/23-2025/9/24 ---- 樺加沙臺風， 廣東省停工1.5天，影響物料供應及生產出貨
2025年底-2026年初----低溫天氣，偏北方物流運輸時間受影響</w:t>
      </w:r>
    </w:p>
    <w:p>
      <w:pPr/>
      <w:r>
        <w:rPr/>
        <w:t xml:space="preserve"/>
      </w:r>
    </w:p>
    <w:p>
      <w:pPr>
        <w:spacing w:line="240" w:lineRule="auto"/>
      </w:pPr>
      <w:r>
        <w:rPr>
          <w:sz w:val="28"/>
          <w:szCs w:val="28"/>
          <w:b w:val="1"/>
          <w:bCs w:val="1"/>
          <w:u w:val="single"/>
        </w:rPr>
        <w:t xml:space="preserve">科技與技術風險: 請問市場上是否出現新的技術、新科技等，進而影響供應鏈變化，包括材料取得、運輸方式改變等</w:t>
      </w:r>
    </w:p>
    <w:p>
      <w:pPr>
        <w:spacing w:line="240" w:lineRule="auto"/>
      </w:pPr>
      <w:r>
        <w:rPr/>
        <w:t xml:space="preserve">答案：無</w:t>
      </w:r>
    </w:p>
    <w:p>
      <w:pPr/>
      <w:r>
        <w:rPr/>
        <w:t xml:space="preserve"/>
      </w:r>
    </w:p>
    <w:p>
      <w:pPr>
        <w:spacing w:line="240" w:lineRule="auto"/>
      </w:pPr>
      <w:r>
        <w:rPr>
          <w:sz w:val="28"/>
          <w:szCs w:val="28"/>
          <w:b w:val="1"/>
          <w:bCs w:val="1"/>
          <w:u w:val="single"/>
        </w:rPr>
        <w:t xml:space="preserve">供應商類別與家數變化：2025年間，供應商是否有重大變化? </w:t>
      </w:r>
    </w:p>
    <w:p>
      <w:pPr>
        <w:spacing w:line="240" w:lineRule="auto"/>
      </w:pPr>
      <w:r>
        <w:rPr/>
        <w:t xml:space="preserve">答案：2025年沖壓類供應商詩丹德利關停，模具移轉至同類供應商及本廠鈑金部
供應商類別無重大變化</w:t>
      </w:r>
    </w:p>
    <w:p>
      <w:pPr/>
      <w:r>
        <w:rPr/>
        <w:t xml:space="preserve"/>
      </w:r>
    </w:p>
    <w:p>
      <w:pPr>
        <w:spacing w:line="240" w:lineRule="auto"/>
      </w:pPr>
      <w:r>
        <w:rPr>
          <w:sz w:val="28"/>
          <w:szCs w:val="28"/>
          <w:b w:val="1"/>
          <w:bCs w:val="1"/>
          <w:u w:val="single"/>
        </w:rPr>
        <w:t xml:space="preserve">針對現有供應商是否依照風險等級進行分類
</w:t>
      </w:r>
    </w:p>
    <w:p>
      <w:pPr>
        <w:spacing w:line="240" w:lineRule="auto"/>
      </w:pPr>
      <w:r>
        <w:rPr>
          <w:sz w:val="22"/>
          <w:szCs w:val="22"/>
        </w:rPr>
        <w:t xml:space="preserve">需要說明供應商風險的定義，高、中、低等類別</w:t>
      </w:r>
    </w:p>
    <w:p>
      <w:pPr>
        <w:spacing w:line="240" w:lineRule="auto"/>
      </w:pPr>
      <w:r>
        <w:rPr/>
        <w:t xml:space="preserve">答案：暫未劃分供應商風險等級，目前正在討論中</w:t>
      </w:r>
    </w:p>
    <w:p>
      <w:pPr/>
      <w:r>
        <w:rPr/>
        <w:t xml:space="preserve"/>
      </w:r>
    </w:p>
    <w:p>
      <w:pPr>
        <w:spacing w:line="240" w:lineRule="auto"/>
      </w:pPr>
      <w:r>
        <w:rPr>
          <w:sz w:val="28"/>
          <w:szCs w:val="28"/>
          <w:b w:val="1"/>
          <w:bCs w:val="1"/>
          <w:u w:val="single"/>
        </w:rPr>
        <w:t xml:space="preserve">請問針對供應商是否進行風險管理與評估? 例如是否進行盡職調查? 作法為何?</w:t>
      </w:r>
    </w:p>
    <w:p>
      <w:pPr>
        <w:spacing w:line="240" w:lineRule="auto"/>
      </w:pPr>
      <w:r>
        <w:rPr/>
        <w:t xml:space="preserve">答案：暫未明確進行風險管理與評估
針對IC類供應商芯安（難替代），目前做法每月初提供IC庫存數據供參考，確保供應順暢</w:t>
      </w:r>
    </w:p>
    <w:p>
      <w:pPr/>
      <w:r>
        <w:rPr/>
        <w:t xml:space="preserve"/>
      </w:r>
    </w:p>
    <w:p>
      <w:pPr>
        <w:spacing w:line="240" w:lineRule="auto"/>
      </w:pPr>
      <w:r>
        <w:rPr>
          <w:sz w:val="28"/>
          <w:szCs w:val="28"/>
          <w:b w:val="1"/>
          <w:bCs w:val="1"/>
          <w:u w:val="single"/>
        </w:rPr>
        <w:t xml:space="preserve">請填寫近2年供應商分級表格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風險級別定義說明</w:t>
            </w:r>
          </w:p>
        </w:tc>
        <w:tc>
          <w:tcPr>
            <w:tcW w:w="1800" w:type="dxa"/>
            <w:noWrap/>
          </w:tcPr>
          <w:p>
            <w:pPr>
              <w:jc w:val="center"/>
              <w:spacing w:line="240" w:lineRule="auto"/>
            </w:pPr>
            <w:r>
              <w:rPr>
                <w:sz w:val="24"/>
                <w:szCs w:val="24"/>
                <w:b w:val="1"/>
                <w:bCs w:val="1"/>
              </w:rPr>
              <w:t xml:space="preserve">2024年 家數</w:t>
            </w:r>
          </w:p>
        </w:tc>
        <w:tc>
          <w:tcPr>
            <w:tcW w:w="1800" w:type="dxa"/>
            <w:noWrap/>
          </w:tcPr>
          <w:p>
            <w:pPr>
              <w:jc w:val="center"/>
              <w:spacing w:line="240" w:lineRule="auto"/>
            </w:pPr>
            <w:r>
              <w:rPr>
                <w:sz w:val="24"/>
                <w:szCs w:val="24"/>
                <w:b w:val="1"/>
                <w:bCs w:val="1"/>
              </w:rPr>
              <w:t xml:space="preserve">2024年 百分比</w:t>
            </w:r>
          </w:p>
        </w:tc>
        <w:tc>
          <w:tcPr>
            <w:tcW w:w="1800" w:type="dxa"/>
            <w:noWrap/>
          </w:tcPr>
          <w:p>
            <w:pPr>
              <w:jc w:val="center"/>
              <w:spacing w:line="240" w:lineRule="auto"/>
            </w:pPr>
            <w:r>
              <w:rPr>
                <w:sz w:val="24"/>
                <w:szCs w:val="24"/>
                <w:b w:val="1"/>
                <w:bCs w:val="1"/>
              </w:rPr>
              <w:t xml:space="preserve">2025年 家數</w:t>
            </w:r>
          </w:p>
        </w:tc>
        <w:tc>
          <w:tcPr>
            <w:tcW w:w="1800" w:type="dxa"/>
            <w:noWrap/>
          </w:tcPr>
          <w:p>
            <w:pPr>
              <w:jc w:val="center"/>
              <w:spacing w:line="240" w:lineRule="auto"/>
            </w:pPr>
            <w:r>
              <w:rPr>
                <w:sz w:val="24"/>
                <w:szCs w:val="24"/>
                <w:b w:val="1"/>
                <w:bCs w:val="1"/>
              </w:rPr>
              <w:t xml:space="preserve">2025年 百分比</w:t>
            </w:r>
          </w:p>
        </w:tc>
      </w:tr>
      <w:tr>
        <w:trPr/>
        <w:tc>
          <w:tcPr>
            <w:tcW w:w="1800" w:type="dxa"/>
            <w:noWrap/>
          </w:tcPr>
          <w:p>
            <w:pPr>
              <w:jc w:val="center"/>
              <w:spacing w:line="240" w:lineRule="auto"/>
            </w:pPr>
            <w:r>
              <w:rPr>
                <w:sz w:val="24"/>
                <w:szCs w:val="24"/>
                <w:b w:val="1"/>
                <w:bCs w:val="1"/>
              </w:rPr>
              <w:t xml:space="preserve">風險等級-高</w:t>
            </w:r>
          </w:p>
        </w:tc>
        <w:tc>
          <w:tcPr>
            <w:tcW w:w="1800" w:type="dxa"/>
            <w:noWrap/>
          </w:tcPr>
          <w:p>
            <w:pPr>
              <w:jc w:val="center"/>
              <w:spacing w:line="240" w:lineRule="auto"/>
            </w:pPr>
            <w:r>
              <w:rPr/>
              <w:t xml:space="preserve">暫未進行</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風險等級-中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風險等級-低</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合計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 Hardware｜TC-HW-230a.1：「產品資料安全風險」供應商管理部分</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是否要求供應商產品資訊安全管理</w:t>
            </w:r>
          </w:p>
        </w:tc>
        <w:tc>
          <w:tcPr>
            <w:tcW w:w="1800" w:type="dxa"/>
            <w:noWrap/>
          </w:tcPr>
          <w:p>
            <w:pPr>
              <w:jc w:val="center"/>
              <w:spacing w:line="240" w:lineRule="auto"/>
            </w:pPr>
            <w:r>
              <w:rPr>
                <w:sz w:val="24"/>
                <w:szCs w:val="24"/>
                <w:b w:val="1"/>
                <w:bCs w:val="1"/>
              </w:rPr>
              <w:t xml:space="preserve">要求供應商產品資安相關政策／標準為何?</w:t>
            </w:r>
          </w:p>
        </w:tc>
        <w:tc>
          <w:tcPr>
            <w:tcW w:w="1800" w:type="dxa"/>
            <w:noWrap/>
          </w:tcPr>
          <w:p>
            <w:pPr>
              <w:jc w:val="center"/>
              <w:spacing w:line="240" w:lineRule="auto"/>
            </w:pPr>
            <w:r>
              <w:rPr>
                <w:sz w:val="24"/>
                <w:szCs w:val="24"/>
                <w:b w:val="1"/>
                <w:bCs w:val="1"/>
              </w:rPr>
              <w:t xml:space="preserve">負面事件發生時的因應做法為何?</w:t>
            </w:r>
          </w:p>
        </w:tc>
      </w:tr>
      <w:tr>
        <w:trPr/>
        <w:tc>
          <w:tcPr>
            <w:tcW w:w="1800" w:type="dxa"/>
            <w:noWrap/>
          </w:tcPr>
          <w:p>
            <w:pPr>
              <w:jc w:val="center"/>
              <w:spacing w:line="240" w:lineRule="auto"/>
            </w:pPr>
            <w:r>
              <w:rPr>
                <w:sz w:val="24"/>
                <w:szCs w:val="24"/>
                <w:b w:val="1"/>
                <w:bCs w:val="1"/>
              </w:rPr>
              <w:t xml:space="preserve">所有產品線</w:t>
            </w:r>
          </w:p>
        </w:tc>
        <w:tc>
          <w:tcPr>
            <w:tcW w:w="1800" w:type="dxa"/>
            <w:noWrap/>
          </w:tcPr>
          <w:p>
            <w:pPr>
              <w:jc w:val="center"/>
              <w:spacing w:line="240" w:lineRule="auto"/>
            </w:pPr>
            <w:r>
              <w:rPr/>
              <w:t xml:space="preserve">無
《供應商社會責任承諾書》--道德方面：有提一段，身為堤摩訊供應商不會公開、揭露或泄露東莞堤摩訊的任何訊息</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 Hardware｜TC-HW-440a.1：與關鍵材料之使用有關之風險管理之描述</w:t>
      </w:r>
    </w:p>
    <w:p>
      <w:pPr>
        <w:spacing w:line="240" w:lineRule="auto"/>
      </w:pPr>
      <w:r>
        <w:rPr>
          <w:sz w:val="22"/>
          <w:szCs w:val="22"/>
        </w:rPr>
        <w:t xml:space="preserve">SASB Hardware｜TC-HW-410a.1~4 產品生命週期管理</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是否有關鍵材料</w:t>
            </w:r>
          </w:p>
        </w:tc>
        <w:tc>
          <w:tcPr>
            <w:tcW w:w="1800" w:type="dxa"/>
            <w:noWrap/>
          </w:tcPr>
          <w:p>
            <w:pPr>
              <w:jc w:val="center"/>
              <w:spacing w:line="240" w:lineRule="auto"/>
            </w:pPr>
            <w:r>
              <w:rPr/>
              <w:t xml:space="preserve">有
IC,粉末冶金件</w:t>
            </w:r>
          </w:p>
        </w:tc>
      </w:tr>
      <w:tr>
        <w:trPr/>
        <w:tc>
          <w:tcPr>
            <w:tcW w:w="1800" w:type="dxa"/>
            <w:noWrap/>
          </w:tcPr>
          <w:p>
            <w:pPr>
              <w:jc w:val="center"/>
              <w:spacing w:line="240" w:lineRule="auto"/>
            </w:pPr>
            <w:r>
              <w:rPr>
                <w:sz w:val="24"/>
                <w:szCs w:val="24"/>
                <w:b w:val="1"/>
                <w:bCs w:val="1"/>
              </w:rPr>
              <w:t xml:space="preserve">使用關鍵材料相關之風險(例如供應鏈風險)</w:t>
            </w:r>
          </w:p>
        </w:tc>
        <w:tc>
          <w:tcPr>
            <w:tcW w:w="1800" w:type="dxa"/>
            <w:noWrap/>
          </w:tcPr>
          <w:p>
            <w:pPr>
              <w:jc w:val="center"/>
              <w:spacing w:line="240" w:lineRule="auto"/>
            </w:pPr>
            <w:r>
              <w:rPr/>
              <w:t xml:space="preserve">1、核心功能部件
2、不可替代性
3、單一、獨家供應
4、長交付周期</w:t>
            </w:r>
          </w:p>
        </w:tc>
      </w:tr>
      <w:tr>
        <w:trPr/>
        <w:tc>
          <w:tcPr>
            <w:tcW w:w="1800" w:type="dxa"/>
            <w:noWrap/>
          </w:tcPr>
          <w:p>
            <w:pPr>
              <w:jc w:val="center"/>
              <w:spacing w:line="240" w:lineRule="auto"/>
            </w:pPr>
            <w:r>
              <w:rPr>
                <w:sz w:val="24"/>
                <w:szCs w:val="24"/>
                <w:b w:val="1"/>
                <w:bCs w:val="1"/>
              </w:rPr>
              <w:t xml:space="preserve">如何管理風險</w:t>
            </w:r>
          </w:p>
        </w:tc>
        <w:tc>
          <w:tcPr>
            <w:tcW w:w="1800" w:type="dxa"/>
            <w:noWrap/>
          </w:tcPr>
          <w:p>
            <w:pPr>
              <w:jc w:val="center"/>
              <w:spacing w:line="240" w:lineRule="auto"/>
            </w:pPr>
            <w:r>
              <w:rPr/>
              <w:t xml:space="preserve">1. 建立緊密合作模式，定期提供庫存與生產情況
2. 長期對策需找第二供應商（如粉末冶金件）
3. 備安全庫存</w:t>
            </w:r>
          </w:p>
        </w:tc>
      </w:tr>
    </w:tbl>
    <w:p>
      <w:pPr/>
      <w:r>
        <w:rPr/>
        <w:t xml:space="preserve"/>
      </w:r>
    </w:p>
    <w:p>
      <w:pPr>
        <w:spacing w:line="240" w:lineRule="auto"/>
      </w:pPr>
      <w:r>
        <w:rPr>
          <w:sz w:val="28"/>
          <w:szCs w:val="28"/>
          <w:b w:val="1"/>
          <w:bCs w:val="1"/>
          <w:u w:val="single"/>
        </w:rPr>
        <w:t xml:space="preserve">請上傳供應商管理規範、供應商社會責任承諾書至TiMOTION公用區，完成後於欄位勾選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供應商管理規範</w:t>
            </w:r>
          </w:p>
        </w:tc>
        <w:tc>
          <w:tcPr>
            <w:tcW w:w="1800" w:type="dxa"/>
            <w:noWrap/>
          </w:tcPr>
          <w:p>
            <w:pPr>
              <w:jc w:val="center"/>
              <w:spacing w:line="240" w:lineRule="auto"/>
            </w:pPr>
            <w:r>
              <w:rPr/>
              <w:t xml:space="preserve">未勾選</w:t>
            </w:r>
          </w:p>
        </w:tc>
      </w:tr>
      <w:tr>
        <w:trPr/>
        <w:tc>
          <w:tcPr>
            <w:tcW w:w="1800" w:type="dxa"/>
            <w:noWrap/>
          </w:tcPr>
          <w:p>
            <w:pPr>
              <w:jc w:val="center"/>
              <w:spacing w:line="240" w:lineRule="auto"/>
            </w:pPr>
            <w:r>
              <w:rPr>
                <w:sz w:val="24"/>
                <w:szCs w:val="24"/>
                <w:b w:val="1"/>
                <w:bCs w:val="1"/>
              </w:rPr>
              <w:t xml:space="preserve">供應商社會責任承諾書</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2. 供應商環境與社會指標符合度調查 </w:t>
      </w:r>
    </w:p>
    <w:p>
      <w:pPr/>
      <w:r>
        <w:rPr/>
        <w:t xml:space="preserve"/>
      </w:r>
    </w:p>
    <w:p>
      <w:pPr>
        <w:spacing w:line="240" w:lineRule="auto"/>
      </w:pPr>
      <w:r>
        <w:rPr>
          <w:sz w:val="28"/>
          <w:szCs w:val="28"/>
          <w:b w:val="1"/>
          <w:bCs w:val="1"/>
          <w:u w:val="single"/>
        </w:rPr>
        <w:t xml:space="preserve">《供應商社會責任承諾書》是否包含要求供應商符合環境與社會指標？採取哪些環境跟社會指標? </w:t>
      </w:r>
    </w:p>
    <w:p>
      <w:pPr>
        <w:spacing w:line="240" w:lineRule="auto"/>
      </w:pPr>
      <w:r>
        <w:rPr>
          <w:sz w:val="22"/>
          <w:szCs w:val="22"/>
        </w:rPr>
        <w:t xml:space="preserve">參考: 
環境指標: 零污染、不破壞環境、不毀林、土地保育、維護生態多樣性
社會指標: 多元與包容、不歧視、尊重集會結社自由、不使用童工等</w:t>
      </w:r>
    </w:p>
    <w:p>
      <w:pPr>
        <w:spacing w:line="240" w:lineRule="auto"/>
      </w:pPr>
      <w:r>
        <w:rPr/>
        <w:t xml:space="preserve">答案：環境指標：未明確說明（可參考相關方環保要求告知書）
社會指標：不歧視、不用童工、不強制勞動等</w:t>
      </w:r>
    </w:p>
    <w:p>
      <w:pPr/>
      <w:r>
        <w:rPr/>
        <w:t xml:space="preserve"/>
      </w:r>
    </w:p>
    <w:p>
      <w:pPr>
        <w:spacing w:line="240" w:lineRule="auto"/>
      </w:pPr>
      <w:r>
        <w:rPr>
          <w:sz w:val="28"/>
          <w:szCs w:val="28"/>
          <w:b w:val="1"/>
          <w:bCs w:val="1"/>
          <w:u w:val="single"/>
        </w:rPr>
        <w:t xml:space="preserve">請說明公司對新進供應商的評核與篩選機制為何? 
(請確認2024報告書內容是否需要修改之處，如有請一併說明，並更新2025年數據、資料)</w:t>
      </w:r>
    </w:p>
    <w:p>
      <w:pPr>
        <w:spacing w:line="240" w:lineRule="auto"/>
      </w:pPr>
      <w:r>
        <w:rPr>
          <w:sz w:val="22"/>
          <w:szCs w:val="22"/>
        </w:rPr>
        <w:t xml:space="preserve">2024報告書
新進供應商管理 (414-2)
針對新供應商評估作業，第一傳動請新供應商填寫《供應商基本資料表》，作為本公司調查供應商基本資訊，並針對生產材料的供應商進行實地考核與填寫實訪調查表，透過設定評鑑分數門檻，作為本公司是否與供應商合作之依據。
在選商過程中評估永續項目，本公司引入環境和社會標準，包含材料法規之合規性(如《化學品註冊、評估、授權和限制法規》)等。供應商應識別、管理、盡量減少並在可能的情況下消除其製造過程和成品中受限物質的使用，並積極研究合適的替代品，以確保符合法規要求，維護產品和環境管理。
本公司另要求台灣及東莞廠之供應商皆須簽署《產品質量協議書》、《供應商社會責任承諾書》，台灣據點之供應商另須簽署《現代奴役法聲明書》、東莞據點之供應商另須簽署《相關方環保要求告知書》。
</w:t>
      </w:r>
    </w:p>
    <w:p>
      <w:pPr>
        <w:spacing w:line="240" w:lineRule="auto"/>
      </w:pPr>
      <w:r>
        <w:rPr/>
        <w:t xml:space="preserve">答案：采購工程提供</w:t>
      </w:r>
    </w:p>
    <w:p>
      <w:pPr/>
      <w:r>
        <w:rPr/>
        <w:t xml:space="preserve"/>
      </w:r>
    </w:p>
    <w:p>
      <w:pPr>
        <w:spacing w:line="240" w:lineRule="auto"/>
      </w:pPr>
      <w:r>
        <w:rPr>
          <w:sz w:val="28"/>
          <w:szCs w:val="28"/>
          <w:b w:val="1"/>
          <w:bCs w:val="1"/>
          <w:u w:val="single"/>
        </w:rPr>
        <w:t xml:space="preserve">供應商ESG環境社會指標評估結果：環境類指標 </w:t>
      </w:r>
    </w:p>
    <w:p>
      <w:pPr>
        <w:spacing w:line="240" w:lineRule="auto"/>
      </w:pPr>
      <w:r>
        <w:rPr>
          <w:sz w:val="22"/>
          <w:szCs w:val="22"/>
        </w:rPr>
        <w:t xml:space="preserve">(2024年未進行供應商ESG評估)</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調查家數</w:t>
            </w:r>
          </w:p>
        </w:tc>
        <w:tc>
          <w:tcPr>
            <w:tcW w:w="1800" w:type="dxa"/>
            <w:noWrap/>
          </w:tcPr>
          <w:p>
            <w:pPr>
              <w:jc w:val="center"/>
              <w:spacing w:line="240" w:lineRule="auto"/>
            </w:pPr>
            <w:r>
              <w:rPr/>
              <w:t xml:space="preserve">針對環境-供應鏈低碳化
自行派車--10家
采購貨物產生碳排放--8家</w:t>
            </w:r>
          </w:p>
        </w:tc>
      </w:tr>
      <w:tr>
        <w:trPr/>
        <w:tc>
          <w:tcPr>
            <w:tcW w:w="1800" w:type="dxa"/>
            <w:noWrap/>
          </w:tcPr>
          <w:p>
            <w:pPr>
              <w:jc w:val="center"/>
              <w:spacing w:line="240" w:lineRule="auto"/>
            </w:pPr>
            <w:r>
              <w:rPr>
                <w:sz w:val="24"/>
                <w:szCs w:val="24"/>
                <w:b w:val="1"/>
                <w:bCs w:val="1"/>
              </w:rPr>
              <w:t xml:space="preserve">回覆家數</w:t>
            </w:r>
          </w:p>
        </w:tc>
        <w:tc>
          <w:tcPr>
            <w:tcW w:w="1800" w:type="dxa"/>
            <w:noWrap/>
          </w:tcPr>
          <w:p>
            <w:pPr>
              <w:jc w:val="center"/>
              <w:spacing w:line="240" w:lineRule="auto"/>
            </w:pPr>
            <w:r>
              <w:rPr/>
              <w:t xml:space="preserve">10家
8家</w:t>
            </w:r>
          </w:p>
        </w:tc>
      </w:tr>
      <w:tr>
        <w:trPr/>
        <w:tc>
          <w:tcPr>
            <w:tcW w:w="1800" w:type="dxa"/>
            <w:noWrap/>
          </w:tcPr>
          <w:p>
            <w:pPr>
              <w:jc w:val="center"/>
              <w:spacing w:line="240" w:lineRule="auto"/>
            </w:pPr>
            <w:r>
              <w:rPr>
                <w:sz w:val="24"/>
                <w:szCs w:val="24"/>
                <w:b w:val="1"/>
                <w:bCs w:val="1"/>
              </w:rPr>
              <w:t xml:space="preserve">回覆率(%)</w:t>
            </w:r>
          </w:p>
        </w:tc>
        <w:tc>
          <w:tcPr>
            <w:tcW w:w="1800" w:type="dxa"/>
            <w:noWrap/>
          </w:tcPr>
          <w:p>
            <w:pPr>
              <w:jc w:val="center"/>
              <w:spacing w:line="240" w:lineRule="auto"/>
            </w:pPr>
            <w:r>
              <w:rPr/>
              <w:t xml:space="preserve">100%</w:t>
            </w:r>
          </w:p>
        </w:tc>
      </w:tr>
      <w:tr>
        <w:trPr/>
        <w:tc>
          <w:tcPr>
            <w:tcW w:w="1800" w:type="dxa"/>
            <w:noWrap/>
          </w:tcPr>
          <w:p>
            <w:pPr>
              <w:jc w:val="center"/>
              <w:spacing w:line="240" w:lineRule="auto"/>
            </w:pPr>
            <w:r>
              <w:rPr>
                <w:sz w:val="24"/>
                <w:szCs w:val="24"/>
                <w:b w:val="1"/>
                <w:bCs w:val="1"/>
              </w:rPr>
              <w:t xml:space="preserve">有沒有違反環境相關法規(例:2025年有沒有因為在空，水，廢棄物等處理違規被罰款?)  </w:t>
            </w:r>
          </w:p>
        </w:tc>
        <w:tc>
          <w:tcPr>
            <w:tcW w:w="1800" w:type="dxa"/>
            <w:noWrap/>
          </w:tcPr>
          <w:p>
            <w:pPr>
              <w:jc w:val="center"/>
              <w:spacing w:line="240" w:lineRule="auto"/>
            </w:pPr>
            <w:r>
              <w:rPr/>
              <w:t xml:space="preserve">安全管理：2025年3月亮點在螺桿部施工時，未按廠商簽署《堤摩訊施工商作業安全衛生承諾書》，導至電焊火花引發粉塵袋自燃，被罰款2000元</w:t>
            </w:r>
          </w:p>
        </w:tc>
      </w:tr>
    </w:tbl>
    <w:p>
      <w:pPr/>
      <w:r>
        <w:rPr/>
        <w:t xml:space="preserve"/>
      </w:r>
    </w:p>
    <w:p>
      <w:pPr>
        <w:spacing w:line="240" w:lineRule="auto"/>
      </w:pPr>
      <w:r>
        <w:rPr>
          <w:sz w:val="28"/>
          <w:szCs w:val="28"/>
          <w:b w:val="1"/>
          <w:bCs w:val="1"/>
          <w:u w:val="single"/>
        </w:rPr>
        <w:t xml:space="preserve">接續上題，是否有「特定環境指標」(例如廢水處理是否合規?)有沒有達標？</w:t>
      </w:r>
    </w:p>
    <w:p>
      <w:pPr>
        <w:spacing w:line="240" w:lineRule="auto"/>
      </w:pPr>
      <w:r>
        <w:rPr>
          <w:sz w:val="22"/>
          <w:szCs w:val="22"/>
        </w:rPr>
        <w:t xml:space="preserve">參考範例：
1.有害物質： 應識別、標籤和管理對人類或環境造成危害的化學物質、廢棄物及其他物質，從而確保這些物質得以安全的處理、運送、儲存、使用、回收或再使用及棄置。
2.廢棄物：供應商應運用系統方法鑑別、管理和減少事業廢棄物，並且對其進行妥善棄置或回收的合規清理。
3.廢水處理：有制定相關作業規範，詳實記錄、描述和監測廢水處理、排放。</w:t>
      </w:r>
    </w:p>
    <w:p>
      <w:pPr>
        <w:spacing w:line="240" w:lineRule="auto"/>
      </w:pPr>
      <w:r>
        <w:rPr/>
        <w:t xml:space="preserve">答案：待環安提供</w:t>
      </w:r>
    </w:p>
    <w:p>
      <w:pPr/>
      <w:r>
        <w:rPr/>
        <w:t xml:space="preserve"/>
      </w:r>
    </w:p>
    <w:p>
      <w:pPr>
        <w:spacing w:line="240" w:lineRule="auto"/>
      </w:pPr>
      <w:r>
        <w:rPr>
          <w:sz w:val="28"/>
          <w:szCs w:val="28"/>
          <w:b w:val="1"/>
          <w:bCs w:val="1"/>
          <w:u w:val="single"/>
        </w:rPr>
        <w:t xml:space="preserve">2025年供應鏈中負面的環境衝擊以及所採取的行動: 有哪些衝擊?採取甚麼行動？(限期改善的實際做法與案例)</w:t>
      </w:r>
    </w:p>
    <w:p>
      <w:pPr>
        <w:spacing w:line="240" w:lineRule="auto"/>
      </w:pPr>
      <w:r>
        <w:rPr>
          <w:sz w:val="22"/>
          <w:szCs w:val="22"/>
        </w:rPr>
        <w:t xml:space="preserve">參考範例：
 發現供應商在廢水處理未依規定排放，遭XX市政府裁罰；得知此事後要求供應商提出具體的改善措施，確保其符合相關環保法規，並設定觀察期是否還有被裁罰，並了解後續廢水排放情況。</w:t>
      </w:r>
    </w:p>
    <w:p>
      <w:pPr>
        <w:spacing w:line="240" w:lineRule="auto"/>
      </w:pPr>
      <w:r>
        <w:rPr/>
        <w:t xml:space="preserve">答案：與環保相關的烤漆、電鍍廠有反映過環保查廠問題，具體情況不清楚</w:t>
      </w:r>
    </w:p>
    <w:p>
      <w:pPr/>
      <w:r>
        <w:rPr/>
        <w:t xml:space="preserve"/>
      </w:r>
    </w:p>
    <w:p>
      <w:pPr>
        <w:spacing w:line="240" w:lineRule="auto"/>
      </w:pPr>
      <w:r>
        <w:rPr>
          <w:sz w:val="28"/>
          <w:szCs w:val="28"/>
          <w:b w:val="1"/>
          <w:bCs w:val="1"/>
          <w:u w:val="single"/>
        </w:rPr>
        <w:t xml:space="preserve">供應商ESG環境社會指標評估結果：社會類指標 </w:t>
      </w:r>
    </w:p>
    <w:p>
      <w:pPr>
        <w:spacing w:line="240" w:lineRule="auto"/>
      </w:pPr>
      <w:r>
        <w:rPr>
          <w:sz w:val="22"/>
          <w:szCs w:val="22"/>
        </w:rPr>
        <w:t xml:space="preserve">(2024年未進行供應商ESG評估)</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調查家數</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回覆家數</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回覆率(%)</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有沒有違反社會相關法規(例:2025年有沒有因為勞動基準法/人權等方面違規而被罰款?)</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接續上題，有沒有特定社會指標(例如人權政策)是否達標？特定社會指標(例如勞動條件)是否達標?</w:t>
      </w:r>
    </w:p>
    <w:p>
      <w:pPr>
        <w:spacing w:line="240" w:lineRule="auto"/>
      </w:pPr>
      <w:r>
        <w:rPr>
          <w:sz w:val="22"/>
          <w:szCs w:val="22"/>
        </w:rPr>
        <w:t xml:space="preserve">參考範例：
1.是否有正式人權政策，並依規執行、不得在任何製造工序中使用童工
2.工作時間：制定充分且有效的政策和程序，用於準確地確定、傳達、記錄、管理和控制工作時間（包括加班時間），包括勞工正常工作時間和加班時間的可靠且詳細的記錄
3.自由結社：勞工可在自由意願下籌組或參與工會、當尊重所有員工組織和參與他們所選擇的工會、集體談判和參加和平集會的權利</w:t>
      </w:r>
    </w:p>
    <w:p>
      <w:pPr>
        <w:spacing w:line="240" w:lineRule="auto"/>
      </w:pPr>
      <w:r>
        <w:rPr/>
        <w:t xml:space="preserve">答案：無影響</w:t>
      </w:r>
    </w:p>
    <w:p>
      <w:pPr/>
      <w:r>
        <w:rPr/>
        <w:t xml:space="preserve"/>
      </w:r>
    </w:p>
    <w:p>
      <w:pPr>
        <w:spacing w:line="240" w:lineRule="auto"/>
      </w:pPr>
      <w:r>
        <w:rPr>
          <w:sz w:val="28"/>
          <w:szCs w:val="28"/>
          <w:b w:val="1"/>
          <w:bCs w:val="1"/>
          <w:u w:val="single"/>
        </w:rPr>
        <w:t xml:space="preserve">2025年供應鏈中負面的社會衝擊以及所採取的行動: 有哪些衝擊?採取甚麼行動？</w:t>
      </w:r>
    </w:p>
    <w:p>
      <w:pPr>
        <w:spacing w:line="240" w:lineRule="auto"/>
      </w:pPr>
      <w:r>
        <w:rPr>
          <w:sz w:val="22"/>
          <w:szCs w:val="22"/>
        </w:rPr>
        <w:t xml:space="preserve">參考範例：
未完全依規設置安全防護設備，發生灼傷事件；持續觀察該供應商後續改善情形，並納入供應商績效評估</w:t>
      </w:r>
    </w:p>
    <w:p>
      <w:pPr>
        <w:spacing w:line="240" w:lineRule="auto"/>
      </w:pPr>
      <w:r>
        <w:rPr/>
        <w:t xml:space="preserve">答案：不清楚</w:t>
      </w:r>
    </w:p>
    <w:p>
      <w:pPr/>
      <w:r>
        <w:rPr/>
        <w:t xml:space="preserve"/>
      </w:r>
    </w:p>
    <w:p>
      <w:pPr>
        <w:spacing w:line="240" w:lineRule="auto"/>
      </w:pPr>
      <w:r>
        <w:rPr>
          <w:sz w:val="28"/>
          <w:szCs w:val="28"/>
          <w:b w:val="1"/>
          <w:bCs w:val="1"/>
          <w:u w:val="single"/>
        </w:rPr>
        <w:t xml:space="preserve">2025年(新)供應商評核與篩選機制：請問新進供應商是否100%簽署《產品質量協議書》、《供應商社會責任承諾書》及《現代奴役法聲明書》、《相關方環保要求告知書》，如無請說明原因，並提供簽署百分比。</w:t>
      </w:r>
    </w:p>
    <w:p>
      <w:pPr>
        <w:spacing w:line="240" w:lineRule="auto"/>
      </w:pPr>
      <w:r>
        <w:rPr/>
        <w:t xml:space="preserve">答案：待采購工程提供</w:t>
      </w:r>
    </w:p>
    <w:p>
      <w:pPr/>
      <w:r>
        <w:rPr/>
        <w:t xml:space="preserve"/>
      </w:r>
    </w:p>
    <w:p>
      <w:pPr>
        <w:spacing w:line="240" w:lineRule="auto"/>
      </w:pPr>
      <w:r>
        <w:rPr>
          <w:sz w:val="28"/>
          <w:szCs w:val="28"/>
          <w:b w:val="1"/>
          <w:bCs w:val="1"/>
          <w:u w:val="single"/>
        </w:rPr>
        <w:t xml:space="preserve">針對不合格之供應商的處理結果，有沒有限期改善、是否不再合作等，請說明</w:t>
      </w:r>
    </w:p>
    <w:p>
      <w:pPr>
        <w:spacing w:line="240" w:lineRule="auto"/>
      </w:pPr>
      <w:r>
        <w:rPr/>
        <w:t xml:space="preserve">答案：對連續三次評比C級供應商進行輔導，于下個月跟進改善情況
對連續三次評比D級供應商進行淘汰，暫無連續三次D級并淘汰供應商</w:t>
      </w:r>
    </w:p>
    <w:p>
      <w:pPr/>
      <w:r>
        <w:rPr/>
        <w:t xml:space="preserve"/>
      </w:r>
    </w:p>
    <w:p>
      <w:pPr>
        <w:spacing w:line="240" w:lineRule="auto"/>
      </w:pPr>
      <w:r>
        <w:rPr>
          <w:sz w:val="28"/>
          <w:szCs w:val="28"/>
          <w:b w:val="1"/>
          <w:bCs w:val="1"/>
          <w:u w:val="single"/>
        </w:rPr>
        <w:t xml:space="preserve">2025年供應商簽署相關文件之比例(如該文件於當地不適用或無該份文件，請填入「不適用」、「無該份文件」)</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台灣地區-總家數</w:t>
            </w:r>
          </w:p>
        </w:tc>
        <w:tc>
          <w:tcPr>
            <w:tcW w:w="1800" w:type="dxa"/>
            <w:noWrap/>
          </w:tcPr>
          <w:p>
            <w:pPr>
              <w:jc w:val="center"/>
              <w:spacing w:line="240" w:lineRule="auto"/>
            </w:pPr>
            <w:r>
              <w:rPr>
                <w:sz w:val="24"/>
                <w:szCs w:val="24"/>
                <w:b w:val="1"/>
                <w:bCs w:val="1"/>
              </w:rPr>
              <w:t xml:space="preserve">台灣地區-簽署家數</w:t>
            </w:r>
          </w:p>
        </w:tc>
        <w:tc>
          <w:tcPr>
            <w:tcW w:w="1800" w:type="dxa"/>
            <w:noWrap/>
          </w:tcPr>
          <w:p>
            <w:pPr>
              <w:jc w:val="center"/>
              <w:spacing w:line="240" w:lineRule="auto"/>
            </w:pPr>
            <w:r>
              <w:rPr>
                <w:sz w:val="24"/>
                <w:szCs w:val="24"/>
                <w:b w:val="1"/>
                <w:bCs w:val="1"/>
              </w:rPr>
              <w:t xml:space="preserve">台灣地區-簽署比例</w:t>
            </w:r>
          </w:p>
        </w:tc>
        <w:tc>
          <w:tcPr>
            <w:tcW w:w="1800" w:type="dxa"/>
            <w:noWrap/>
          </w:tcPr>
          <w:p>
            <w:pPr>
              <w:jc w:val="center"/>
              <w:spacing w:line="240" w:lineRule="auto"/>
            </w:pPr>
            <w:r>
              <w:rPr>
                <w:sz w:val="24"/>
                <w:szCs w:val="24"/>
                <w:b w:val="1"/>
                <w:bCs w:val="1"/>
              </w:rPr>
              <w:t xml:space="preserve">東莞地區-總家數</w:t>
            </w:r>
          </w:p>
        </w:tc>
        <w:tc>
          <w:tcPr>
            <w:tcW w:w="1800" w:type="dxa"/>
            <w:noWrap/>
          </w:tcPr>
          <w:p>
            <w:pPr>
              <w:jc w:val="center"/>
              <w:spacing w:line="240" w:lineRule="auto"/>
            </w:pPr>
            <w:r>
              <w:rPr>
                <w:sz w:val="24"/>
                <w:szCs w:val="24"/>
                <w:b w:val="1"/>
                <w:bCs w:val="1"/>
              </w:rPr>
              <w:t xml:space="preserve">東莞地區-簽署家數</w:t>
            </w:r>
          </w:p>
        </w:tc>
        <w:tc>
          <w:tcPr>
            <w:tcW w:w="1800" w:type="dxa"/>
            <w:noWrap/>
          </w:tcPr>
          <w:p>
            <w:pPr>
              <w:jc w:val="center"/>
              <w:spacing w:line="240" w:lineRule="auto"/>
            </w:pPr>
            <w:r>
              <w:rPr>
                <w:sz w:val="24"/>
                <w:szCs w:val="24"/>
                <w:b w:val="1"/>
                <w:bCs w:val="1"/>
              </w:rPr>
              <w:t xml:space="preserve">東莞地區-簽署比例</w:t>
            </w:r>
          </w:p>
        </w:tc>
      </w:tr>
      <w:tr>
        <w:trPr/>
        <w:tc>
          <w:tcPr>
            <w:tcW w:w="1800" w:type="dxa"/>
            <w:noWrap/>
          </w:tcPr>
          <w:p>
            <w:pPr>
              <w:jc w:val="center"/>
              <w:spacing w:line="240" w:lineRule="auto"/>
            </w:pPr>
            <w:r>
              <w:rPr>
                <w:sz w:val="24"/>
                <w:szCs w:val="24"/>
                <w:b w:val="1"/>
                <w:bCs w:val="1"/>
              </w:rPr>
              <w:t xml:space="preserve">社會責任承諾書</w:t>
            </w:r>
          </w:p>
        </w:tc>
        <w:tc>
          <w:tcPr>
            <w:tcW w:w="1800" w:type="dxa"/>
            <w:noWrap/>
          </w:tcPr>
          <w:p>
            <w:pPr>
              <w:jc w:val="center"/>
              <w:spacing w:line="240" w:lineRule="auto"/>
            </w:pPr>
            <w:r>
              <w:rPr/>
              <w:t xml:space="preserve">采購工程提供</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產品質量協議書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現代奴役法聲明書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相關方環保要求告知書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請說明公司如何追蹤供應商簽署文件的機制</w:t>
      </w:r>
    </w:p>
    <w:p>
      <w:pPr>
        <w:spacing w:line="240" w:lineRule="auto"/>
      </w:pPr>
      <w:r>
        <w:rPr/>
        <w:t xml:space="preserve">答案：1.文件通過郵件發送
2.節點提醒與進度監控
3.人工跟進與溝通
4.檔案歸檔存儲</w:t>
      </w:r>
    </w:p>
    <w:p>
      <w:pPr/>
      <w:r>
        <w:rPr/>
        <w:t xml:space="preserve"/>
      </w:r>
    </w:p>
    <w:p>
      <w:pPr>
        <w:spacing w:line="240" w:lineRule="auto"/>
      </w:pPr>
      <w:r>
        <w:rPr>
          <w:sz w:val="28"/>
          <w:szCs w:val="28"/>
          <w:b w:val="1"/>
          <w:bCs w:val="1"/>
          <w:u w:val="single"/>
        </w:rPr>
        <w:t xml:space="preserve">【SASB-TC-HW-430a.1】
請問一階供應商(Tier1 supplier)各生產據點，是否通過責任商業聯盟（RBA）有效性查核程序（VAP）或同等程序? 
所有供應商當中，有多少比例通過RBA查核? 按(a)所有供應商據點及(b)高風險據點(例如東南亞地區)</w:t>
      </w:r>
    </w:p>
    <w:p>
      <w:pPr>
        <w:spacing w:line="240" w:lineRule="auto"/>
      </w:pPr>
      <w:r>
        <w:rPr>
          <w:sz w:val="22"/>
          <w:szCs w:val="22"/>
        </w:rPr>
        <w:t xml:space="preserve">RBA(中文版)連結：https://www.responsiblebusiness.org/media/docs/RBACodeofConduct8.0_Chinese(Traditional).pdf
BRR(英文版)連結：https://www.responsiblebusiness.org/media/docs/RBACodeofConduct8.0_English.pdf
責任商業聯盟（RBA）有效性查核程序（VAP）：RBA 有效性查核程序（Validated Assessment Program,VAP）是由獨立的第三方公司所進行的具有效性、可共享的現場合規驗證與稽核，其標準在業界中居於領導地位。
RBA 最基本的計畫之一就是有效性查核程序，由獨立第三方機構執行的、具有效性且可共享的現場合規性驗證。RBA 制定 VAP 標準，而稽核則由經 RBA 核准、可執行 VAP 程序的第三方公司獨立進行。RBA 本身不進行稽核，也不驗證稽核結果。
針對 RBA 會員的設施及其供應商設施所進行的評估，均由受過社會與環境評估及 VAP 程序專業訓練的獨立第三方公司負責執行。
一項典型的 VAP 現場稽核在單一製造據點通常需時 2 至 5 天，內容包含深入的文件審查、管理層與員工面談，以及實地目視檢查。RBA 核准的公司會在可能的情況下派遣當地、以母語為主的評估員，他們受過特別訓練以辨識不易發現的 VAP 程序違規事項，例如強迫勞動的跡象。他們也具備專業能力，能了解某些違規較可能出現的情況，例如在外籍勞工人口較高的地區，可能有過度工時的問題。
當 VAP 稽核發現與程序不符合之處時，這些不符合項目會依嚴重程度分為 「次要（Minor）」、「重大（Major）」或「重大優先級（Priority）」。上述三個級別均有規範的期限，要求該設施在期限內改善問題，並建立系統以防止重複發生。</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是否具有人權風險，請說明</w:t>
            </w:r>
          </w:p>
        </w:tc>
        <w:tc>
          <w:tcPr>
            <w:tcW w:w="1800" w:type="dxa"/>
            <w:noWrap/>
          </w:tcPr>
          <w:p>
            <w:pPr>
              <w:jc w:val="center"/>
              <w:spacing w:line="240" w:lineRule="auto"/>
            </w:pPr>
            <w:r>
              <w:rPr>
                <w:sz w:val="24"/>
                <w:szCs w:val="24"/>
                <w:b w:val="1"/>
                <w:bCs w:val="1"/>
              </w:rPr>
              <w:t xml:space="preserve">所有供應商數量</w:t>
            </w:r>
          </w:p>
        </w:tc>
        <w:tc>
          <w:tcPr>
            <w:tcW w:w="1800" w:type="dxa"/>
            <w:noWrap/>
          </w:tcPr>
          <w:p>
            <w:pPr>
              <w:jc w:val="center"/>
              <w:spacing w:line="240" w:lineRule="auto"/>
            </w:pPr>
            <w:r>
              <w:rPr>
                <w:sz w:val="24"/>
                <w:szCs w:val="24"/>
                <w:b w:val="1"/>
                <w:bCs w:val="1"/>
              </w:rPr>
              <w:t xml:space="preserve">通過 RBA VAP 查核的供應商數量</w:t>
            </w:r>
          </w:p>
        </w:tc>
        <w:tc>
          <w:tcPr>
            <w:tcW w:w="1800" w:type="dxa"/>
            <w:noWrap/>
          </w:tcPr>
          <w:p>
            <w:pPr>
              <w:jc w:val="center"/>
              <w:spacing w:line="240" w:lineRule="auto"/>
            </w:pPr>
            <w:r>
              <w:rPr>
                <w:sz w:val="24"/>
                <w:szCs w:val="24"/>
                <w:b w:val="1"/>
                <w:bCs w:val="1"/>
              </w:rPr>
              <w:t xml:space="preserve">通過 其他人權要求查核的供應商數量</w:t>
            </w:r>
          </w:p>
        </w:tc>
      </w:tr>
      <w:tr>
        <w:trPr/>
        <w:tc>
          <w:tcPr>
            <w:tcW w:w="1800" w:type="dxa"/>
            <w:noWrap/>
          </w:tcPr>
          <w:p>
            <w:pPr>
              <w:jc w:val="center"/>
              <w:spacing w:line="240" w:lineRule="auto"/>
            </w:pPr>
            <w:r>
              <w:rPr>
                <w:sz w:val="24"/>
                <w:szCs w:val="24"/>
                <w:b w:val="1"/>
                <w:bCs w:val="1"/>
              </w:rPr>
              <w:t xml:space="preserve">來自歐洲供應商</w:t>
            </w:r>
          </w:p>
        </w:tc>
        <w:tc>
          <w:tcPr>
            <w:tcW w:w="1800" w:type="dxa"/>
            <w:noWrap/>
          </w:tcPr>
          <w:p>
            <w:pPr>
              <w:jc w:val="center"/>
              <w:spacing w:line="240" w:lineRule="auto"/>
            </w:pPr>
            <w:r>
              <w:rPr/>
              <w:t xml:space="preserve">不清楚 </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來自美洲估應商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來自非洲供應商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來自亞洲供應商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其他地區供應商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【SASB-TC-HW-430a.2】
請說明所有一階供應商當中，針對不合格的供應商是否採取行動? RBA 將不合格事項分為(a)優先不合格事項及(b)其他不合格事項，如供應商有進行RBA審核，請說明比例</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所有進行 RBA 查驗的供應商數量</w:t>
            </w:r>
          </w:p>
        </w:tc>
        <w:tc>
          <w:tcPr>
            <w:tcW w:w="1800" w:type="dxa"/>
            <w:noWrap/>
          </w:tcPr>
          <w:p>
            <w:pPr>
              <w:jc w:val="center"/>
              <w:spacing w:line="240" w:lineRule="auto"/>
            </w:pPr>
            <w:r>
              <w:rPr>
                <w:sz w:val="24"/>
                <w:szCs w:val="24"/>
                <w:b w:val="1"/>
                <w:bCs w:val="1"/>
              </w:rPr>
              <w:t xml:space="preserve">不合格的數量</w:t>
            </w:r>
          </w:p>
        </w:tc>
      </w:tr>
      <w:tr>
        <w:trPr/>
        <w:tc>
          <w:tcPr>
            <w:tcW w:w="1800" w:type="dxa"/>
            <w:noWrap/>
          </w:tcPr>
          <w:p>
            <w:pPr>
              <w:jc w:val="center"/>
              <w:spacing w:line="240" w:lineRule="auto"/>
            </w:pPr>
            <w:r>
              <w:rPr>
                <w:sz w:val="24"/>
                <w:szCs w:val="24"/>
                <w:b w:val="1"/>
                <w:bCs w:val="1"/>
              </w:rPr>
              <w:t xml:space="preserve">(a)優先不合格</w:t>
            </w:r>
          </w:p>
        </w:tc>
        <w:tc>
          <w:tcPr>
            <w:tcW w:w="1800" w:type="dxa"/>
            <w:noWrap/>
          </w:tcPr>
          <w:p>
            <w:pPr>
              <w:jc w:val="center"/>
              <w:spacing w:line="240" w:lineRule="auto"/>
            </w:pPr>
            <w:r>
              <w:rPr/>
              <w:t xml:space="preserve">不清楚</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(b)其他不合格</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【SASB-TC-HW-430a.2】
承上，請說明供應商的改善行動，並說明有多少家供應商有進行改善?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請說明具體改善行動的內容</w:t>
            </w:r>
          </w:p>
        </w:tc>
        <w:tc>
          <w:tcPr>
            <w:tcW w:w="1800" w:type="dxa"/>
            <w:noWrap/>
          </w:tcPr>
          <w:p>
            <w:pPr>
              <w:jc w:val="center"/>
              <w:spacing w:line="240" w:lineRule="auto"/>
            </w:pPr>
            <w:r>
              <w:rPr>
                <w:sz w:val="24"/>
                <w:szCs w:val="24"/>
                <w:b w:val="1"/>
                <w:bCs w:val="1"/>
              </w:rPr>
              <w:t xml:space="preserve">有進行改善的供應商數量(家數)</w:t>
            </w:r>
          </w:p>
        </w:tc>
        <w:tc>
          <w:tcPr>
            <w:tcW w:w="1800" w:type="dxa"/>
            <w:noWrap/>
          </w:tcPr>
          <w:p>
            <w:pPr>
              <w:jc w:val="center"/>
              <w:spacing w:line="240" w:lineRule="auto"/>
            </w:pPr>
            <w:r>
              <w:rPr>
                <w:sz w:val="24"/>
                <w:szCs w:val="24"/>
                <w:b w:val="1"/>
                <w:bCs w:val="1"/>
              </w:rPr>
              <w:t xml:space="preserve">有進行改善的供應商百分比</w:t>
            </w:r>
          </w:p>
        </w:tc>
      </w:tr>
      <w:tr>
        <w:trPr/>
        <w:tc>
          <w:tcPr>
            <w:tcW w:w="1800" w:type="dxa"/>
            <w:noWrap/>
          </w:tcPr>
          <w:p>
            <w:pPr>
              <w:jc w:val="center"/>
              <w:spacing w:line="240" w:lineRule="auto"/>
            </w:pPr>
            <w:r>
              <w:rPr>
                <w:sz w:val="24"/>
                <w:szCs w:val="24"/>
                <w:b w:val="1"/>
                <w:bCs w:val="1"/>
              </w:rPr>
              <w:t xml:space="preserve">(a)優先不合格</w:t>
            </w:r>
          </w:p>
        </w:tc>
        <w:tc>
          <w:tcPr>
            <w:tcW w:w="1800" w:type="dxa"/>
            <w:noWrap/>
          </w:tcPr>
          <w:p>
            <w:pPr>
              <w:jc w:val="center"/>
              <w:spacing w:line="240" w:lineRule="auto"/>
            </w:pPr>
            <w:r>
              <w:rPr/>
              <w:t xml:space="preserve">不清楚</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(b)其他不合格</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是否有舉行年度供應商ESG評估的未來規劃，如有請提供預計實施的時程</w:t>
      </w:r>
    </w:p>
    <w:p>
      <w:pPr>
        <w:spacing w:line="240" w:lineRule="auto"/>
      </w:pPr>
      <w:r>
        <w:rPr/>
        <w:t xml:space="preserve">答案：預計26年討論制定實施計劃</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 供應商考核 </w:t>
      </w:r>
    </w:p>
    <w:p>
      <w:pPr/>
      <w:r>
        <w:rPr/>
        <w:t xml:space="preserve"/>
      </w:r>
    </w:p>
    <w:p>
      <w:pPr>
        <w:spacing w:line="240" w:lineRule="auto"/>
      </w:pPr>
      <w:r>
        <w:rPr>
          <w:sz w:val="28"/>
          <w:szCs w:val="28"/>
          <w:b w:val="1"/>
          <w:bCs w:val="1"/>
          <w:u w:val="single"/>
        </w:rPr>
        <w:t xml:space="preserve">請說明供應商考核之作業流程
(請參考圖片之2024年報告書內容，確認是否需要修改，並提供修改內容)</w:t>
      </w:r>
    </w:p>
    <w:p>
      <w:pPr/>
      <w:r>
        <w:pict>
          <v:shape type="#_x0000_t75" stroked="f" style="width:200pt; height:129.29061784897pt; margin-left:0pt; margin-top:0pt; mso-position-horizontal:left; mso-position-vertical:top; mso-position-horizontal-relative:char; mso-position-vertical-relative:line;">
            <w10:wrap type="inline"/>
            <v:imagedata r:id="rId7" o:title=""/>
          </v:shape>
        </w:pict>
      </w:r>
    </w:p>
    <w:p>
      <w:pPr>
        <w:spacing w:line="240" w:lineRule="auto"/>
      </w:pPr>
      <w:r>
        <w:rPr/>
        <w:t xml:space="preserve">答案：第一條供應商考核關鍵內容會修訂，加上成本等
第二條詢問電子品管，每季度的供應商實訪調查表結果未做等級區分，討論中</w:t>
      </w:r>
    </w:p>
    <w:p>
      <w:pPr/>
      <w:r>
        <w:rPr/>
        <w:t xml:space="preserve"/>
      </w:r>
    </w:p>
    <w:p>
      <w:pPr>
        <w:spacing w:line="240" w:lineRule="auto"/>
      </w:pPr>
      <w:r>
        <w:rPr>
          <w:sz w:val="28"/>
          <w:szCs w:val="28"/>
          <w:b w:val="1"/>
          <w:bCs w:val="1"/>
          <w:u w:val="single"/>
        </w:rPr>
        <w:t xml:space="preserve">請說明2025年供應商考核結果
【每月】
1.總共考核幾家，如何選定考核對象？
2.是否有被評為D級、連續三次評為C級的供應商，家數分別是幾家?
3.對評為D級、連續三次評為C級的供應商的輔導作為是什麼?
4.有無連續三次評為D級的供應商，家數是幾家?
5.連續三次評為D級的供應商是否均依規定予以淘汰？淘汰前是否有請該供應商說明</w:t>
      </w:r>
    </w:p>
    <w:p>
      <w:pPr>
        <w:spacing w:line="240" w:lineRule="auto"/>
      </w:pPr>
      <w:r>
        <w:rPr/>
        <w:t xml:space="preserve">答案：1.2025年1-10月機構考核226家，電子考核153家；考核對象：原物料、零組件、外包產品的所有供應商
2.機構D級6家，電子D級1家
3.提升績效，穩定供應
4.暫無連續三次評為D級的供應商
5.沒有此情況</w:t>
      </w:r>
    </w:p>
    <w:p>
      <w:pPr/>
      <w:r>
        <w:rPr/>
        <w:t xml:space="preserve"/>
      </w:r>
    </w:p>
    <w:p>
      <w:pPr>
        <w:spacing w:line="240" w:lineRule="auto"/>
      </w:pPr>
      <w:r>
        <w:rPr>
          <w:sz w:val="28"/>
          <w:szCs w:val="28"/>
          <w:b w:val="1"/>
          <w:bCs w:val="1"/>
          <w:u w:val="single"/>
        </w:rPr>
        <w:t xml:space="preserve">請說明2025年供應商考核結果【每季】</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第1季</w:t>
            </w:r>
          </w:p>
        </w:tc>
        <w:tc>
          <w:tcPr>
            <w:tcW w:w="1800" w:type="dxa"/>
            <w:noWrap/>
          </w:tcPr>
          <w:p>
            <w:pPr>
              <w:jc w:val="center"/>
              <w:spacing w:line="240" w:lineRule="auto"/>
            </w:pPr>
            <w:r>
              <w:rPr>
                <w:sz w:val="24"/>
                <w:szCs w:val="24"/>
                <w:b w:val="1"/>
                <w:bCs w:val="1"/>
              </w:rPr>
              <w:t xml:space="preserve">第2季</w:t>
            </w:r>
          </w:p>
        </w:tc>
        <w:tc>
          <w:tcPr>
            <w:tcW w:w="1800" w:type="dxa"/>
            <w:noWrap/>
          </w:tcPr>
          <w:p>
            <w:pPr>
              <w:jc w:val="center"/>
              <w:spacing w:line="240" w:lineRule="auto"/>
            </w:pPr>
            <w:r>
              <w:rPr>
                <w:sz w:val="24"/>
                <w:szCs w:val="24"/>
                <w:b w:val="1"/>
                <w:bCs w:val="1"/>
              </w:rPr>
              <w:t xml:space="preserve">第3季</w:t>
            </w:r>
          </w:p>
        </w:tc>
        <w:tc>
          <w:tcPr>
            <w:tcW w:w="1800" w:type="dxa"/>
            <w:noWrap/>
          </w:tcPr>
          <w:p>
            <w:pPr>
              <w:jc w:val="center"/>
              <w:spacing w:line="240" w:lineRule="auto"/>
            </w:pPr>
            <w:r>
              <w:rPr>
                <w:sz w:val="24"/>
                <w:szCs w:val="24"/>
                <w:b w:val="1"/>
                <w:bCs w:val="1"/>
              </w:rPr>
              <w:t xml:space="preserve">第4季</w:t>
            </w:r>
          </w:p>
        </w:tc>
      </w:tr>
      <w:tr>
        <w:trPr/>
        <w:tc>
          <w:tcPr>
            <w:tcW w:w="1800" w:type="dxa"/>
            <w:noWrap/>
          </w:tcPr>
          <w:p>
            <w:pPr>
              <w:jc w:val="center"/>
              <w:spacing w:line="240" w:lineRule="auto"/>
            </w:pPr>
            <w:r>
              <w:rPr>
                <w:sz w:val="24"/>
                <w:szCs w:val="24"/>
                <w:b w:val="1"/>
                <w:bCs w:val="1"/>
              </w:rPr>
              <w:t xml:space="preserve">每季考核家數</w:t>
            </w:r>
          </w:p>
        </w:tc>
        <w:tc>
          <w:tcPr>
            <w:tcW w:w="1800" w:type="dxa"/>
            <w:noWrap/>
          </w:tcPr>
          <w:p>
            <w:pPr>
              <w:jc w:val="center"/>
              <w:spacing w:line="240" w:lineRule="auto"/>
            </w:pPr>
            <w:r>
              <w:rPr/>
              <w:t xml:space="preserve">待品管提供</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對第二級分數供應商發出供應商輔導表之家數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第二級分數供應商回覆供應商輔導表之家數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第三級分數不合格家數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進行第二次實地評鑑之家數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二次實地評鑑仍不合格家數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針對不合格供應商之處理/輔導</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請上傳供應商考核相關流程、規範至TiMOTION公用區，完成後請勾選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供應商考核相關流程、規範</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TMT&gt;總部、TMF&gt;台中廠、TMC&gt;東莞堤摩訊/東莞廠，TMA&gt;澳洲，TMJ&gt;日本，法國&gt;TME，TMU&gt;美國子公司。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2026-01-07T10:59:44+08:00</dcterms:created>
  <dcterms:modified xsi:type="dcterms:W3CDTF">2026-01-07T10:59:44+08:00</dcterms:modified>
</cp:coreProperties>
</file>

<file path=docProps/custom.xml><?xml version="1.0" encoding="utf-8"?>
<Properties xmlns="http://schemas.openxmlformats.org/officeDocument/2006/custom-properties" xmlns:vt="http://schemas.openxmlformats.org/officeDocument/2006/docPropsVTypes"/>
</file>