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TM-HR-TMJ</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r>
        <w:trPr/>
        <w:tc>
          <w:tcPr>
            <w:tcW w:w="1800" w:type="dxa"/>
            <w:noWrap/>
          </w:tcPr>
          <w:p>
            <w:pPr>
              <w:jc w:val="center"/>
              <w:spacing w:line="240" w:lineRule="auto"/>
            </w:pPr>
            <w:r>
              <w:rPr>
                <w:sz w:val="24"/>
                <w:szCs w:val="24"/>
                <w:b w:val="1"/>
                <w:bCs w:val="1"/>
              </w:rPr>
              <w:t xml:space="preserve">TMJ - Number of Male employees</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13</w:t>
            </w:r>
          </w:p>
        </w:tc>
      </w:tr>
      <w:tr>
        <w:trPr/>
        <w:tc>
          <w:tcPr>
            <w:tcW w:w="1800" w:type="dxa"/>
            <w:noWrap/>
          </w:tcPr>
          <w:p>
            <w:pPr>
              <w:jc w:val="center"/>
              <w:spacing w:line="240" w:lineRule="auto"/>
            </w:pPr>
            <w:r>
              <w:rPr>
                <w:sz w:val="24"/>
                <w:szCs w:val="24"/>
                <w:b w:val="1"/>
                <w:bCs w:val="1"/>
              </w:rPr>
              <w:t xml:space="preserve">TMJ - Number of Female employees</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TMJ - Total</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18</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13</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18</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r>
        <w:trPr/>
        <w:tc>
          <w:tcPr>
            <w:tcW w:w="1800" w:type="dxa"/>
            <w:noWrap/>
          </w:tcPr>
          <w:p>
            <w:pPr>
              <w:jc w:val="center"/>
              <w:spacing w:line="240" w:lineRule="auto"/>
            </w:pPr>
            <w:r>
              <w:rPr>
                <w:sz w:val="24"/>
                <w:szCs w:val="24"/>
                <w:b w:val="1"/>
                <w:bCs w:val="1"/>
              </w:rPr>
              <w:t xml:space="preserve">TMJ-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TMJ-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Rate of new employee hires</w:t>
            </w:r>
          </w:p>
        </w:tc>
        <w:tc>
          <w:tcPr>
            <w:tcW w:w="1800" w:type="dxa"/>
            <w:noWrap/>
          </w:tcPr>
          <w:p>
            <w:pPr>
              <w:jc w:val="center"/>
              <w:spacing w:line="240" w:lineRule="auto"/>
            </w:pPr>
            <w:r>
              <w:rPr/>
              <w:t xml:space="preserve">15.38%</w:t>
            </w:r>
          </w:p>
        </w:tc>
        <w:tc>
          <w:tcPr>
            <w:tcW w:w="1800" w:type="dxa"/>
            <w:noWrap/>
          </w:tcPr>
          <w:p>
            <w:pPr>
              <w:jc w:val="center"/>
              <w:spacing w:line="240" w:lineRule="auto"/>
            </w:pPr>
            <w:r>
              <w:rPr/>
              <w:t xml:space="preserve">37.5%</w:t>
            </w:r>
          </w:p>
        </w:tc>
        <w:tc>
          <w:tcPr>
            <w:tcW w:w="1800" w:type="dxa"/>
            <w:noWrap/>
          </w:tcPr>
          <w:p>
            <w:pPr>
              <w:jc w:val="center"/>
              <w:spacing w:line="240" w:lineRule="auto"/>
            </w:pPr>
            <w:r>
              <w:rPr/>
              <w:t xml:space="preserve">23.81%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33.33%</w:t>
            </w:r>
          </w:p>
        </w:tc>
        <w:tc>
          <w:tcPr>
            <w:tcW w:w="1800" w:type="dxa"/>
            <w:noWrap/>
          </w:tcPr>
          <w:p>
            <w:pPr>
              <w:jc w:val="center"/>
              <w:spacing w:line="240" w:lineRule="auto"/>
            </w:pPr>
            <w:r>
              <w:rPr/>
              <w:t xml:space="preserve">10.53%</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spacing w:line="240" w:lineRule="auto"/>
      </w:pPr>
      <w:r>
        <w:rPr/>
        <w:t xml:space="preserve">答案：The change in the new hire rate was mainly due to workforce demand, business adjustments, employee turnover, and organizational planning. Hiring activities focused on maintaining normal operations and filling essential positions, without significant workforce expansion.</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r>
        <w:trPr/>
        <w:tc>
          <w:tcPr>
            <w:tcW w:w="1800" w:type="dxa"/>
            <w:noWrap/>
          </w:tcPr>
          <w:p>
            <w:pPr>
              <w:jc w:val="center"/>
              <w:spacing w:line="240" w:lineRule="auto"/>
            </w:pPr>
            <w:r>
              <w:rPr>
                <w:sz w:val="24"/>
                <w:szCs w:val="24"/>
                <w:b w:val="1"/>
                <w:bCs w:val="1"/>
              </w:rPr>
              <w:t xml:space="preserve">Voluntary turnover rate</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10.81%</w:t>
            </w:r>
          </w:p>
        </w:tc>
      </w:tr>
      <w:tr>
        <w:trPr/>
        <w:tc>
          <w:tcPr>
            <w:tcW w:w="1800" w:type="dxa"/>
            <w:noWrap/>
          </w:tcPr>
          <w:p>
            <w:pPr>
              <w:jc w:val="center"/>
              <w:spacing w:line="240" w:lineRule="auto"/>
            </w:pPr>
            <w:r>
              <w:rPr>
                <w:sz w:val="24"/>
                <w:szCs w:val="24"/>
                <w:b w:val="1"/>
                <w:bCs w:val="1"/>
              </w:rPr>
              <w:t xml:space="preserve">Involuntary turnover rate</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5.41%</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spacing w:line="240" w:lineRule="auto"/>
      </w:pPr>
      <w:r>
        <w:rPr/>
        <w:t xml:space="preserve">答案：Voluntary turnover was mainly attributable to employees’ adjustment to the work environment, personal career planning, or other individual factors, while involuntary turnover was related to routine performance management and organizational operational needs.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r>
        <w:trPr/>
        <w:tc>
          <w:tcPr>
            <w:tcW w:w="1800" w:type="dxa"/>
            <w:noWrap/>
          </w:tcPr>
          <w:p>
            <w:pPr>
              <w:jc w:val="center"/>
              <w:spacing w:line="240" w:lineRule="auto"/>
            </w:pPr>
            <w:r>
              <w:rPr>
                <w:sz w:val="24"/>
                <w:szCs w:val="24"/>
                <w:b w:val="1"/>
                <w:bCs w:val="1"/>
              </w:rPr>
              <w:t xml:space="preserve">TMJ</w:t>
            </w:r>
          </w:p>
        </w:tc>
        <w:tc>
          <w:tcPr>
            <w:tcW w:w="1800" w:type="dxa"/>
            <w:noWrap/>
          </w:tcPr>
          <w:p>
            <w:pPr>
              <w:jc w:val="center"/>
              <w:spacing w:line="240" w:lineRule="auto"/>
            </w:pPr>
            <w:r>
              <w:rPr/>
              <w:t xml:space="preserve">122.52%</w:t>
            </w:r>
          </w:p>
        </w:tc>
        <w:tc>
          <w:tcPr>
            <w:tcW w:w="1800" w:type="dxa"/>
            <w:noWrap/>
          </w:tcPr>
          <w:p>
            <w:pPr>
              <w:jc w:val="center"/>
              <w:spacing w:line="240" w:lineRule="auto"/>
            </w:pPr>
            <w:r>
              <w:rPr/>
              <w:t xml:space="preserve">117.62%</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spacing w:line="240" w:lineRule="auto"/>
      </w:pPr>
      <w:r>
        <w:rPr/>
        <w:t xml:space="preserve">答案：Yes. The company conducts regular reviews of compensation structures and salary levels to ensure fairness and consistency. Remuneration is determined based on job responsibilities, qualifications, performance, and experience, and is not influenced by gender or other non-job-related factors.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spacing w:line="240" w:lineRule="auto"/>
      </w:pPr>
      <w:r>
        <w:rPr/>
        <w:t xml:space="preserve">答案：The company maintains regular communication with employees through established internal communication channels. At present, there is no labor union within the company, and no employees are union members.</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spacing w:line="240" w:lineRule="auto"/>
      </w:pPr>
      <w:r>
        <w:rPr/>
        <w:t xml:space="preserve">答案：The minimum notice period for operational changes is one month (30 days), in compliance with local legal requirements. 
For employees in the probation period, the notice period for resignation is generally one week in advance.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spacing w:line="240" w:lineRule="auto"/>
      </w:pPr>
      <w:r>
        <w:rPr/>
        <w:t xml:space="preserve">答案：The employee benefits policy of the Company in 2024 is as follows:
1.The Company provides a department dining subsidy of up to JPY 3,000 per employee per quarter.
2.A subsidy for one health check-up per employee each year is provided by the Company.
3.Employees are provided with a JPY 20,000 allowance for the annual year-end party (Bonenkai).
4.An annual travel subsidy of JPY 30,000 per employee is provided each year.
5.A wedding allowance of JPY 30,000 per employee is provided in accordance with company policy.
6.A childbirth allowance of JPY 10,000 per employee is provided.
7.The Company provides school enrollment allowances for employees’ children, including JPY 5,000 for elementary school, JPY 5,000 for junior high school, and JPY 10,000 for senior high school.
8.Condolence allowances related to sickness and bereavement are provided in accordance with company policy.
9.A birthday allowance of JPY 8,000 per employee is provided.
10.Employees are eligible to participate in company-organized travel activities after completing three months of service.
11.The Company provides ergonomic automatic height-adjustable desks to all office employees.
12.Internal activities and events are organized from time to time in accordance with festivals and special occasions.
The Company provides statutory social insurance coverage in accordance with Japanese labor laws, including health insurance, employees’ pension insurance, employment insurance, and workers’ accident compensation insurance.</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r>
        <w:trPr/>
        <w:tc>
          <w:tcPr>
            <w:tcW w:w="1800" w:type="dxa"/>
            <w:noWrap/>
          </w:tcPr>
          <w:p>
            <w:pPr>
              <w:jc w:val="center"/>
              <w:spacing w:line="240" w:lineRule="auto"/>
            </w:pPr>
            <w:r>
              <w:rPr>
                <w:sz w:val="24"/>
                <w:szCs w:val="24"/>
                <w:b w:val="1"/>
                <w:bCs w:val="1"/>
              </w:rPr>
              <w:t xml:space="preserve"> Life insurance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Health insurance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Disability insurance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Parental leave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Retirement provision</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stock ownership</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spacing w:line="240" w:lineRule="auto"/>
      </w:pPr>
      <w:r>
        <w:rPr/>
        <w:t xml:space="preserve">答案：In accordance with Japanese labor laws, the Company provides childcare leave to eligible employees until the child reaches one year of age, with possible extensions under legally defined conditions. The policy applies to both male and female employees and supports work-life balance.</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sz w:val="24"/>
                <w:szCs w:val="24"/>
                <w:b w:val="1"/>
                <w:bCs w:val="1"/>
              </w:rPr>
              <w:t xml:space="preserve">Number of employees eligible to apply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Number of employees who actually applied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number of employees scheduled to return to work in 2025 (A)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number of employees who returned to work in 2025 (B)</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Return-to-work rate in 2025 (B/A) (%) </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number of employees who returned to work in 2024 (C)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Number of employees who remained employed for 12 months after returning to work in 2024 (D)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Retention rate in 2025 (D/C) (%)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spacing w:line="240" w:lineRule="auto"/>
      </w:pPr>
      <w:r>
        <w:rPr/>
        <w:t xml:space="preserve">答案：Yes. Transition assistance is provided primarily through work handover and job adjustment arrangements, depending on operational needs and individual circumstances.</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r>
        <w:trPr/>
        <w:tc>
          <w:tcPr>
            <w:tcW w:w="1800" w:type="dxa"/>
            <w:noWrap/>
          </w:tcPr>
          <w:p>
            <w:pPr>
              <w:jc w:val="center"/>
              <w:spacing w:line="240" w:lineRule="auto"/>
            </w:pPr>
            <w:r>
              <w:rPr>
                <w:sz w:val="24"/>
                <w:szCs w:val="24"/>
                <w:b w:val="1"/>
                <w:bCs w:val="1"/>
              </w:rPr>
              <w:t xml:space="preserve">Employee Benefits – Workplace Stress Management</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Employee Benefits – Exercise and Wellness Programs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Working Conditions – Flexible Working Hours</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Working Conditions – Work-from-Home Arrangements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Family Benefits – Childcare Facilities or Allowances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Family Benefits – Lactation Rooms / Breastfeeding Facilities or Benefits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Family Benefits – Paid Parental Leave for Primary Caregivers (Please specify the total number of paid leave weeks provided to most employees)</w:t>
            </w:r>
          </w:p>
        </w:tc>
        <w:tc>
          <w:tcPr>
            <w:tcW w:w="1800" w:type="dxa"/>
            <w:noWrap/>
          </w:tcPr>
          <w:p>
            <w:pPr>
              <w:jc w:val="center"/>
              <w:spacing w:line="240" w:lineRule="auto"/>
            </w:pPr>
            <w:r>
              <w:rPr/>
              <w:t xml:space="preserve">The Company does not provide paid parental leave but assists eligible employees with applying for government-provided benefits.</w:t>
            </w:r>
          </w:p>
        </w:tc>
      </w:tr>
      <w:tr>
        <w:trPr/>
        <w:tc>
          <w:tcPr>
            <w:tcW w:w="1800" w:type="dxa"/>
            <w:noWrap/>
          </w:tcPr>
          <w:p>
            <w:pPr>
              <w:jc w:val="center"/>
              <w:spacing w:line="240" w:lineRule="auto"/>
            </w:pPr>
            <w:r>
              <w:rPr>
                <w:sz w:val="24"/>
                <w:szCs w:val="24"/>
                <w:b w:val="1"/>
                <w:bCs w:val="1"/>
              </w:rPr>
              <w:t xml:space="preserve">Family Benefits – Paid Parental Leave for Non-primary Caregivers (Please specify the total number of paid leave weeks provided to most employees)</w:t>
            </w:r>
          </w:p>
        </w:tc>
        <w:tc>
          <w:tcPr>
            <w:tcW w:w="1800" w:type="dxa"/>
            <w:noWrap/>
          </w:tcPr>
          <w:p>
            <w:pPr>
              <w:jc w:val="center"/>
              <w:spacing w:line="240" w:lineRule="auto"/>
            </w:pPr>
            <w:r>
              <w:rPr/>
              <w:t xml:space="preserve">The Company does not provide paid parental leave but assists eligible employees with applying for government-provided benefits.</w:t>
            </w:r>
          </w:p>
        </w:tc>
      </w:tr>
      <w:tr>
        <w:trPr/>
        <w:tc>
          <w:tcPr>
            <w:tcW w:w="1800" w:type="dxa"/>
            <w:noWrap/>
          </w:tcPr>
          <w:p>
            <w:pPr>
              <w:jc w:val="center"/>
              <w:spacing w:line="240" w:lineRule="auto"/>
            </w:pPr>
            <w:r>
              <w:rPr>
                <w:sz w:val="24"/>
                <w:szCs w:val="24"/>
                <w:b w:val="1"/>
                <w:bCs w:val="1"/>
              </w:rPr>
              <w:t xml:space="preserve">Family Benefits – Paid Family Care Leave (outside of parental leave) for caring for children, spouses/partners, dependents, parents, siblings, or other relatives with physical or mental health conditions</w:t>
            </w:r>
          </w:p>
        </w:tc>
        <w:tc>
          <w:tcPr>
            <w:tcW w:w="1800" w:type="dxa"/>
            <w:noWrap/>
          </w:tcPr>
          <w:p>
            <w:pPr>
              <w:jc w:val="center"/>
              <w:spacing w:line="240" w:lineRule="auto"/>
            </w:pPr>
            <w:r>
              <w:rPr/>
              <w:t xml:space="preserve">Yes</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spacing w:line="240" w:lineRule="auto"/>
      </w:pPr>
      <w:r>
        <w:rPr/>
        <w:t xml:space="preserve">答案：N/A</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spacing w:line="240" w:lineRule="auto"/>
      </w:pPr>
      <w:r>
        <w:rPr/>
        <w:t xml:space="preserve">答案：Employees caring for one dependent may apply for up to 5 days per year;
employees caring for two or more dependents may apply for up to 10 days per year.</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spacing w:line="240" w:lineRule="auto"/>
      </w:pPr>
      <w:r>
        <w:rPr/>
        <w:t xml:space="preserve">答案：The Company ensures fair and equal treatment for Indigenous employees and foreign national employees, with no discrimination based on ethnicity or nationality. All employees are provided with equal compensation, benefits, and workplace support in accordance with applicable laws.</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spacing w:line="240" w:lineRule="auto"/>
      </w:pPr>
      <w:r>
        <w:rPr/>
        <w:t xml:space="preserve">答案：1. 5 days of paid child care leave per year are provided to support employees with childcare responsibilities.
2. Flexible working hours are implemented to support work-life balance.</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spacing w:line="240" w:lineRule="auto"/>
      </w:pPr>
      <w:r>
        <w:rPr/>
        <w:t xml:space="preserve">答案：The Company has established an online suggestion box through a Google Form and continuously reviews and improves practices based on the feedback received.</w:t>
      </w:r>
    </w:p>
    <w:p>
      <w:pPr/>
      <w:r>
        <w:rPr/>
        <w:t xml:space="preserve"/>
      </w:r>
    </w:p>
    <w:p>
      <w:pPr>
        <w:spacing w:line="240" w:lineRule="auto"/>
      </w:pPr>
      <w:r>
        <w:rPr>
          <w:sz w:val="28"/>
          <w:szCs w:val="28"/>
          <w:b w:val="1"/>
          <w:bCs w:val="1"/>
          <w:u w:val="single"/>
        </w:rPr>
        <w:t xml:space="preserve">Does your company have a regular labor–management negotiation mechanism?</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spacing w:line="240" w:lineRule="auto"/>
      </w:pPr>
      <w:r>
        <w:rPr/>
        <w:t xml:space="preserve">答案：The Company conducts verbal check-ins to assess whether employees are adapting well to the work environment and related aspects.</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spacing w:line="240" w:lineRule="auto"/>
      </w:pPr>
      <w:r>
        <w:rPr/>
        <w:t xml:space="preserve">答案：Departing employees are required to complete an exit form upon resignation, which includes a section for providing feedback and suggestions to the Company.</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spacing w:line="240" w:lineRule="auto"/>
      </w:pPr>
      <w:r>
        <w:rPr/>
        <w:t xml:space="preserve">答案：In 2025, the Company conducted training programs on business manners and negotiation skills, with participation from most employees. The total training expenditure was approximately JPY 307,100. In addition, employees interested in forklift operation were supported in attending professional training courses and obtaining the required occupational licenses for warehouse operations at TMJ.</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Management</w:t>
            </w:r>
          </w:p>
        </w:tc>
        <w:tc>
          <w:tcPr>
            <w:tcW w:w="1800" w:type="dxa"/>
            <w:noWrap/>
          </w:tcPr>
          <w:p>
            <w:pPr>
              <w:jc w:val="center"/>
              <w:spacing w:line="240" w:lineRule="auto"/>
            </w:pPr>
            <w:r>
              <w:rPr/>
              <w:t xml:space="preserve">32 hrs</w:t>
            </w:r>
          </w:p>
        </w:tc>
        <w:tc>
          <w:tcPr>
            <w:tcW w:w="1800" w:type="dxa"/>
            <w:noWrap/>
          </w:tcPr>
          <w:p>
            <w:pPr>
              <w:jc w:val="center"/>
              <w:spacing w:line="240" w:lineRule="auto"/>
            </w:pPr>
            <w:r>
              <w:rPr/>
              <w:t xml:space="preserve">16 hrs</w:t>
            </w:r>
          </w:p>
        </w:tc>
        <w:tc>
          <w:tcPr>
            <w:tcW w:w="1800" w:type="dxa"/>
            <w:noWrap/>
          </w:tcPr>
          <w:p>
            <w:pPr>
              <w:jc w:val="center"/>
              <w:spacing w:line="240" w:lineRule="auto"/>
            </w:pPr>
            <w:r>
              <w:rPr/>
              <w:t xml:space="preserve">48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r>
      <w:tr>
        <w:trPr/>
        <w:tc>
          <w:tcPr>
            <w:tcW w:w="1800" w:type="dxa"/>
            <w:noWrap/>
          </w:tcPr>
          <w:p>
            <w:pPr>
              <w:jc w:val="center"/>
              <w:spacing w:line="240" w:lineRule="auto"/>
            </w:pPr>
            <w:r>
              <w:rPr>
                <w:sz w:val="24"/>
                <w:szCs w:val="24"/>
                <w:b w:val="1"/>
                <w:bCs w:val="1"/>
              </w:rPr>
              <w:t xml:space="preserve">Non – Management</w:t>
            </w:r>
          </w:p>
        </w:tc>
        <w:tc>
          <w:tcPr>
            <w:tcW w:w="1800" w:type="dxa"/>
            <w:noWrap/>
          </w:tcPr>
          <w:p>
            <w:pPr>
              <w:jc w:val="center"/>
              <w:spacing w:line="240" w:lineRule="auto"/>
            </w:pPr>
            <w:r>
              <w:rPr/>
              <w:t xml:space="preserve">72 hrs+
(forklift)72hrs/2person</w:t>
            </w:r>
          </w:p>
        </w:tc>
        <w:tc>
          <w:tcPr>
            <w:tcW w:w="1800" w:type="dxa"/>
            <w:noWrap/>
          </w:tcPr>
          <w:p>
            <w:pPr>
              <w:jc w:val="center"/>
              <w:spacing w:line="240" w:lineRule="auto"/>
            </w:pPr>
            <w:r>
              <w:rPr/>
              <w:t xml:space="preserve">24 hrs</w:t>
            </w:r>
          </w:p>
        </w:tc>
        <w:tc>
          <w:tcPr>
            <w:tcW w:w="1800" w:type="dxa"/>
            <w:noWrap/>
          </w:tcPr>
          <w:p>
            <w:pPr>
              <w:jc w:val="center"/>
              <w:spacing w:line="240" w:lineRule="auto"/>
            </w:pPr>
            <w:r>
              <w:rPr/>
              <w:t xml:space="preserve">96 hrs+
(forklift)72hrs/2person</w:t>
            </w:r>
          </w:p>
        </w:tc>
        <w:tc>
          <w:tcPr>
            <w:tcW w:w="1800" w:type="dxa"/>
            <w:noWrap/>
          </w:tcPr>
          <w:p>
            <w:pPr>
              <w:jc w:val="center"/>
              <w:spacing w:line="240" w:lineRule="auto"/>
            </w:pPr>
            <w:r>
              <w:rPr/>
              <w:t xml:space="preserve">8 hrs+
(forklift)36hrs/1person</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
(forklift)72hrs/2person</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104 hrs+
(forklift)72hrs/2person</w:t>
            </w:r>
          </w:p>
        </w:tc>
        <w:tc>
          <w:tcPr>
            <w:tcW w:w="1800" w:type="dxa"/>
            <w:noWrap/>
          </w:tcPr>
          <w:p>
            <w:pPr>
              <w:jc w:val="center"/>
              <w:spacing w:line="240" w:lineRule="auto"/>
            </w:pPr>
            <w:r>
              <w:rPr/>
              <w:t xml:space="preserve">40 hrs</w:t>
            </w:r>
          </w:p>
        </w:tc>
        <w:tc>
          <w:tcPr>
            <w:tcW w:w="1800" w:type="dxa"/>
            <w:noWrap/>
          </w:tcPr>
          <w:p>
            <w:pPr>
              <w:jc w:val="center"/>
              <w:spacing w:line="240" w:lineRule="auto"/>
            </w:pPr>
            <w:r>
              <w:rPr/>
              <w:t xml:space="preserve">144 hrs+
(forklift)72hrs/2person</w:t>
            </w:r>
          </w:p>
        </w:tc>
        <w:tc>
          <w:tcPr>
            <w:tcW w:w="1800" w:type="dxa"/>
            <w:noWrap/>
          </w:tcPr>
          <w:p>
            <w:pPr>
              <w:jc w:val="center"/>
              <w:spacing w:line="240" w:lineRule="auto"/>
            </w:pPr>
            <w:r>
              <w:rPr/>
              <w:t xml:space="preserve">16 hrs+
(forklift)72hrs/2person</w:t>
            </w:r>
          </w:p>
        </w:tc>
        <w:tc>
          <w:tcPr>
            <w:tcW w:w="1800" w:type="dxa"/>
            <w:noWrap/>
          </w:tcPr>
          <w:p>
            <w:pPr>
              <w:jc w:val="center"/>
              <w:spacing w:line="240" w:lineRule="auto"/>
            </w:pPr>
            <w:r>
              <w:rPr/>
              <w:t xml:space="preserve">16 hrs</w:t>
            </w:r>
          </w:p>
        </w:tc>
        <w:tc>
          <w:tcPr>
            <w:tcW w:w="1800" w:type="dxa"/>
            <w:noWrap/>
          </w:tcPr>
          <w:p>
            <w:pPr>
              <w:jc w:val="center"/>
              <w:spacing w:line="240" w:lineRule="auto"/>
            </w:pPr>
            <w:r>
              <w:rPr/>
              <w:t xml:space="preserve">32hrs+
(forklift)72hrs/2person</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32 hrs+ 
(forklift)72hrs/2person</w:t>
            </w:r>
          </w:p>
        </w:tc>
        <w:tc>
          <w:tcPr>
            <w:tcW w:w="1800" w:type="dxa"/>
            <w:noWrap/>
          </w:tcPr>
          <w:p>
            <w:pPr>
              <w:jc w:val="center"/>
              <w:spacing w:line="240" w:lineRule="auto"/>
            </w:pPr>
            <w:r>
              <w:rPr/>
              <w:t xml:space="preserve">24 hrs</w:t>
            </w:r>
          </w:p>
        </w:tc>
        <w:tc>
          <w:tcPr>
            <w:tcW w:w="1800" w:type="dxa"/>
            <w:noWrap/>
          </w:tcPr>
          <w:p>
            <w:pPr>
              <w:jc w:val="center"/>
              <w:spacing w:line="240" w:lineRule="auto"/>
            </w:pPr>
            <w:r>
              <w:rPr/>
              <w:t xml:space="preserve">56 hrs+ 
(forklift)72hrs/2person</w:t>
            </w:r>
          </w:p>
        </w:tc>
        <w:tc>
          <w:tcPr>
            <w:tcW w:w="1800" w:type="dxa"/>
            <w:noWrap/>
          </w:tcPr>
          <w:p>
            <w:pPr>
              <w:jc w:val="center"/>
              <w:spacing w:line="240" w:lineRule="auto"/>
            </w:pPr>
            <w:r>
              <w:rPr/>
              <w:t xml:space="preserve">8 hrs + (forklift)36hrs/1person</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
(forklift)72hrs/2person</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64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72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8 hrs</w:t>
            </w:r>
          </w:p>
        </w:tc>
        <w:tc>
          <w:tcPr>
            <w:tcW w:w="1800" w:type="dxa"/>
            <w:noWrap/>
          </w:tcPr>
          <w:p>
            <w:pPr>
              <w:jc w:val="center"/>
              <w:spacing w:line="240" w:lineRule="auto"/>
            </w:pPr>
            <w:r>
              <w:rPr/>
              <w:t xml:space="preserve">16 hrs</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104+ 
(forklift)72hrs/2person</w:t>
            </w:r>
          </w:p>
        </w:tc>
        <w:tc>
          <w:tcPr>
            <w:tcW w:w="1800" w:type="dxa"/>
            <w:noWrap/>
          </w:tcPr>
          <w:p>
            <w:pPr>
              <w:jc w:val="center"/>
              <w:spacing w:line="240" w:lineRule="auto"/>
            </w:pPr>
            <w:r>
              <w:rPr/>
              <w:t xml:space="preserve">40 hrs</w:t>
            </w:r>
          </w:p>
        </w:tc>
        <w:tc>
          <w:tcPr>
            <w:tcW w:w="1800" w:type="dxa"/>
            <w:noWrap/>
          </w:tcPr>
          <w:p>
            <w:pPr>
              <w:jc w:val="center"/>
              <w:spacing w:line="240" w:lineRule="auto"/>
            </w:pPr>
            <w:r>
              <w:rPr/>
              <w:t xml:space="preserve">144 hrs
(forklift)72hrs/2person</w:t>
            </w:r>
          </w:p>
        </w:tc>
        <w:tc>
          <w:tcPr>
            <w:tcW w:w="1800" w:type="dxa"/>
            <w:noWrap/>
          </w:tcPr>
          <w:p>
            <w:pPr>
              <w:jc w:val="center"/>
              <w:spacing w:line="240" w:lineRule="auto"/>
            </w:pPr>
            <w:r>
              <w:rPr/>
              <w:t xml:space="preserve">24 hrs + (forklift)36hrs/1person</w:t>
            </w:r>
          </w:p>
        </w:tc>
        <w:tc>
          <w:tcPr>
            <w:tcW w:w="1800" w:type="dxa"/>
            <w:noWrap/>
          </w:tcPr>
          <w:p>
            <w:pPr>
              <w:jc w:val="center"/>
              <w:spacing w:line="240" w:lineRule="auto"/>
            </w:pPr>
            <w:r>
              <w:rPr/>
              <w:t xml:space="preserve">24 hrs</w:t>
            </w:r>
          </w:p>
        </w:tc>
        <w:tc>
          <w:tcPr>
            <w:tcW w:w="1800" w:type="dxa"/>
            <w:noWrap/>
          </w:tcPr>
          <w:p>
            <w:pPr>
              <w:jc w:val="center"/>
              <w:spacing w:line="240" w:lineRule="auto"/>
            </w:pPr>
            <w:r>
              <w:rPr/>
              <w:t xml:space="preserve">48 hrs+
(forklift)72hrs/2person</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r>
        <w:trPr/>
        <w:tc>
          <w:tcPr>
            <w:tcW w:w="1800" w:type="dxa"/>
            <w:noWrap/>
          </w:tcPr>
          <w:p>
            <w:pPr>
              <w:jc w:val="center"/>
              <w:spacing w:line="240" w:lineRule="auto"/>
            </w:pPr>
            <w:r>
              <w:rPr/>
              <w:t xml:space="preserve">business manner</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18</w:t>
            </w:r>
          </w:p>
        </w:tc>
        <w:tc>
          <w:tcPr>
            <w:tcW w:w="1800" w:type="dxa"/>
            <w:noWrap/>
          </w:tcPr>
          <w:p>
            <w:pPr>
              <w:jc w:val="center"/>
              <w:spacing w:line="240" w:lineRule="auto"/>
            </w:pPr>
            <w:r>
              <w:rPr/>
              <w:t xml:space="preserve">52 hrs</w:t>
            </w:r>
          </w:p>
        </w:tc>
        <w:tc>
          <w:tcPr>
            <w:tcW w:w="1800" w:type="dxa"/>
            <w:noWrap/>
          </w:tcPr>
          <w:p>
            <w:pPr>
              <w:jc w:val="center"/>
              <w:spacing w:line="240" w:lineRule="auto"/>
            </w:pPr>
            <w:r>
              <w:rPr/>
              <w:t xml:space="preserve">40 hrs</w:t>
            </w:r>
          </w:p>
        </w:tc>
      </w:tr>
      <w:tr>
        <w:trPr/>
        <w:tc>
          <w:tcPr>
            <w:tcW w:w="1800" w:type="dxa"/>
            <w:noWrap/>
          </w:tcPr>
          <w:p>
            <w:pPr>
              <w:jc w:val="center"/>
              <w:spacing w:line="240" w:lineRule="auto"/>
            </w:pPr>
            <w:r>
              <w:rPr/>
              <w:t xml:space="preserve">forklift operation</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72 hrs</w:t>
            </w:r>
          </w:p>
        </w:tc>
        <w:tc>
          <w:tcPr>
            <w:tcW w:w="1800" w:type="dxa"/>
            <w:noWrap/>
          </w:tcPr>
          <w:p>
            <w:pPr>
              <w:jc w:val="center"/>
              <w:spacing w:line="240" w:lineRule="auto"/>
            </w:pPr>
            <w:r>
              <w:rPr/>
              <w:t xml:space="preserve">0 hrs</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r>
        <w:trPr/>
        <w:tc>
          <w:tcPr>
            <w:tcW w:w="1800" w:type="dxa"/>
            <w:noWrap/>
          </w:tcPr>
          <w:p>
            <w:pPr>
              <w:jc w:val="center"/>
              <w:spacing w:line="240" w:lineRule="auto"/>
            </w:pPr>
            <w:r>
              <w:rPr/>
              <w:t xml:space="preserve">92 hrs</w:t>
            </w:r>
          </w:p>
        </w:tc>
      </w:tr>
      <w:tr>
        <w:trPr/>
        <w:tc>
          <w:tcPr>
            <w:tcW w:w="1800" w:type="dxa"/>
            <w:noWrap/>
          </w:tcPr>
          <w:p>
            <w:pPr>
              <w:jc w:val="center"/>
              <w:spacing w:line="240" w:lineRule="auto"/>
            </w:pPr>
            <w:r>
              <w:rPr/>
              <w:t xml:space="preserve">72 hrs</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r>
        <w:trPr/>
        <w:tc>
          <w:tcPr>
            <w:tcW w:w="1800" w:type="dxa"/>
            <w:noWrap/>
          </w:tcPr>
          <w:p>
            <w:pPr>
              <w:jc w:val="center"/>
              <w:spacing w:line="240" w:lineRule="auto"/>
            </w:pPr>
            <w:r>
              <w:rPr/>
              <w:t xml:space="preserve">business manner</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18</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r>
        <w:trPr/>
        <w:tc>
          <w:tcPr>
            <w:tcW w:w="1800" w:type="dxa"/>
            <w:noWrap/>
          </w:tcPr>
          <w:p>
            <w:pPr>
              <w:jc w:val="center"/>
              <w:spacing w:line="240" w:lineRule="auto"/>
            </w:pPr>
            <w:r>
              <w:rPr/>
              <w:t xml:space="preserve">JPY 165,000</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r>
        <w:trPr/>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General Employees</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Junior-level management</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Mid-level management</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Senior-level managers</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r>
        <w:rPr/>
        <w:t xml:space="preserve"/>
      </w:r>
    </w:p>
    <w:p>
      <w:pPr>
        <w:spacing w:line="240" w:lineRule="auto"/>
      </w:pPr>
      <w:r>
        <w:rPr>
          <w:sz w:val="28"/>
          <w:szCs w:val="28"/>
          <w:b w:val="1"/>
          <w:bCs w:val="1"/>
          <w:u w:val="single"/>
        </w:rPr>
        <w:t xml:space="preserve">Please describe your company’s onboarding training system for new employees.</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r>
        <w:rPr/>
        <w:t xml:space="preserve"/>
      </w:r>
    </w:p>
    <w:p>
      <w:pPr>
        <w:spacing w:line="240" w:lineRule="auto"/>
      </w:pPr>
      <w:r>
        <w:rPr>
          <w:sz w:val="28"/>
          <w:szCs w:val="28"/>
          <w:b w:val="1"/>
          <w:bCs w:val="1"/>
          <w:u w:val="single"/>
        </w:rPr>
        <w:t xml:space="preserve">Please provide the content of the performance reviews.</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2026-01-07T11:11:13+08:00</dcterms:created>
  <dcterms:modified xsi:type="dcterms:W3CDTF">2026-01-07T11:11:13+08:00</dcterms:modified>
</cp:coreProperties>
</file>

<file path=docProps/custom.xml><?xml version="1.0" encoding="utf-8"?>
<Properties xmlns="http://schemas.openxmlformats.org/officeDocument/2006/custom-properties" xmlns:vt="http://schemas.openxmlformats.org/officeDocument/2006/docPropsVTypes"/>
</file>