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>
        <w:spacing w:line="240" w:lineRule="auto"/>
      </w:pPr>
      <w:r>
        <w:rPr/>
        <w:t xml:space="preserve">答案：a-1. 溫室氣體盤查的理念: 本集團重視氣候變遷對企業營運之影響，依循ISO標準建立溫室氣體管理制度與系統性盤查，持續提升數據品質，朝向低碳永續經營目標邁進。
a-2. 碳盤查狀況: 總部、台中廠、東莞廠自2024年底開始進行碳盤查，持續以固定頻率紀錄各項排放源數據，並使用鼎新碳管理系統彙整集團盤查數據。自2026年起將加入盤查法國、日本、美國、澳洲子公司及MOTTI。
b-1. 目前尚未有外部稽核。
b-2. 內部稽核頻率一年一次，併入ISO內部定期稽核項目。2025年已完成首輪稽核各部門碳盤查。
c. 待完成2025首年溫盤，始依排放數據設定減碳目標及減碳措施。
d. 暫未定義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460.7205 (公噸CO2e)
(統計範圍約2025年1~10月，全年數據須待2026/1/20)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4,460.9768 (公噸CO2e)
(統計範圍約2025年1~10月，全年數據須待2026/1/20)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4,921.6973 (公噸CO2e)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25.2231
台中廠: 19.7901
東莞廠: 342.2061
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0.0001
台中廠: 4.1590
東莞廠: 456.5614
(公噸CO2e)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193.9849
台中廠: 339.2392
東莞廠: 4,733.568
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總部: 102.2394
台中廠: 408.7872
東莞廠: 3,949.9502
(公噸CO2e)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5,654.0114 (公噸CO2e)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4,921.6973 (公噸CO2e)
(統計範圍約2025年1~10月，全年數據須待2026/1/20)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營收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毛利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CAPEX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折舊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減損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保險費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資金成本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2026-01-07T10:52:43+08:00</dcterms:created>
  <dcterms:modified xsi:type="dcterms:W3CDTF">2026-01-07T10:52:43+08:00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