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負面(潛在)衝擊：本公司主要製造過程為購入原物料與零組件之後，進行注塑、切割、打磨、焊接、清洗、噴粉烤粉等加工與組裝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>
        <w:spacing w:line="240" w:lineRule="auto"/>
      </w:pPr>
      <w:r>
        <w:rPr/>
        <w:t xml:space="preserve">答案：本公司已在東莞廠導入環境管理系統 ISO 14001和ISO14064進行管理。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>
        <w:spacing w:line="240" w:lineRule="auto"/>
      </w:pPr>
      <w:r>
        <w:rPr/>
        <w:t xml:space="preserve">答案：東莞廠以“環境方針：保護環境，珍惜資源，實現可持續發展”為環境方針。
總經理承諾，制定並發佈環境方針和目標，以及績效指標，並大力宣傳貫徹實施。
通過現場巡視、內審、每月工作會議等方法來檢查目標、指標及管理方案
的實行情況。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>
        <w:spacing w:line="240" w:lineRule="auto"/>
      </w:pPr>
      <w:r>
        <w:rPr/>
        <w:t xml:space="preserve">答案：行管部梁淑華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>
        <w:spacing w:line="240" w:lineRule="auto"/>
      </w:pPr>
      <w:r>
        <w:rPr/>
        <w:t xml:space="preserve">答案：1. 每月例會內部稽核向高層報告各單位環境行為的抽查情況，每季度行管報告環境KPI達成情況。
2. 每年至少一次ISO14001內部審核，自查環境管控方案執行情況，並提出糾正改善要求
3. 每年至少一次管理評審，向高層報告過去一年環境管理體系運行情況
4. 確認ISO 14001 環境管理系統有效性：2025年12月完成外部稽核ISO 14001東莞廠一、二、四、六廠區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>
        <w:spacing w:line="240" w:lineRule="auto"/>
      </w:pPr>
      <w:r>
        <w:rPr/>
        <w:t xml:space="preserve">答案：政策：重要廢氣須做污染防治措施。廢氣處理設施定期維護保養。定期對廢氣排放進行檢測分析。
目標：廢氣排放符合國家排放標準，合規排放。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答案：/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>
        <w:spacing w:line="240" w:lineRule="auto"/>
      </w:pPr>
      <w:r>
        <w:rPr/>
        <w:t xml:space="preserve">答案：/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/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/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2025-12-22T18:55:29+08:00</dcterms:created>
  <dcterms:modified xsi:type="dcterms:W3CDTF">2025-12-22T18:55:29+08:00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