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TM-STA-TMT-V1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利害關係人議合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利害關係人溝通情形</w:t>
      </w:r>
    </w:p>
    <w:p>
      <w:pPr>
        <w:spacing w:line="240" w:lineRule="auto"/>
      </w:pPr>
      <w:r>
        <w:rPr>
          <w:sz w:val="22"/>
          <w:szCs w:val="22"/>
        </w:rPr>
        <w:t xml:space="preserve">★溝通頻率：請依每月/每季/每年/不定期的分類進行說明
★議和情況範例：
1.每年召開4次董事會
2.完成180家供應商稽核，稽核合格率100%
3.滿意度調查，回收問卷達XXX份，各項指標均介於4.04至4.7分(滿分6分)
4.消費者服務專線與官網利害關係人專區累計顧客反映計XX件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與利害關係人溝通管道及溝通頻率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申訴管道(請說明負責單位、聯繫方式)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2025年議合情況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股東/投資人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銀行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員工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供應商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政府機關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稽核主管參與董事會頻率，2025年度共計有7次。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(無)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1. 內部稽核每月與管理階層溝通稽核發現，並於次月底之前提交稽核報告供外部董事及監察人審閱。
2. 2025年每季參與董事會進行稽核業務報告，共計參與今年度7次董事會與股東會。
3. 搭配公開發行進度，今年度密切與券商及會計師召開IPO進度追蹤會議、及缺失改善會議，今年度執行內控會計師訪談，與會計師密切合作內控之建置。
4. 未來上市櫃後，將依規定於主管機關網站上進行申報作業。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社區鄰里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2025-12-19T15:13:37+08:00</dcterms:created>
  <dcterms:modified xsi:type="dcterms:W3CDTF">2025-12-19T15:13:37+08:00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