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>
        <w:spacing w:line="240" w:lineRule="auto"/>
      </w:pPr>
      <w:r>
        <w:rPr/>
        <w:t xml:space="preserve">答案：ISO 9001 與 ISO 13485 ，品質政策與原物料與供應商管理、生產製程控制、產品驗證、變更管理、不合格品處理的流程進行管理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>
        <w:spacing w:line="240" w:lineRule="auto"/>
      </w:pPr>
      <w:r>
        <w:rPr/>
        <w:t xml:space="preserve">答案：品質方針為「嚴謹、務實、創新」。生產基地台中廠與東莞廠皆已取得ISO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>
        <w:spacing w:line="240" w:lineRule="auto"/>
      </w:pPr>
      <w:r>
        <w:rPr/>
        <w:t xml:space="preserve">答案：參考品質手冊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>
        <w:spacing w:line="240" w:lineRule="auto"/>
      </w:pPr>
      <w:r>
        <w:rPr/>
        <w:t xml:space="preserve">答案：優化供應商管理專案
產品之新應用導入ISO16949管理體系
導入客訴管理系統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>
        <w:spacing w:line="240" w:lineRule="auto"/>
      </w:pPr>
      <w:r>
        <w:rPr/>
        <w:t xml:space="preserve">答案：• 產品品質KPI 達標率
• 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五金	99.00%	
塑膠	99.75%	
壓鑄	98.00%	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五金	99.67%
塑膠	99.81%
壓鑄	100%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目標:90%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實際:100%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目標:90%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實際:100%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2025-12-19T16:01:18+08:00</dcterms:created>
  <dcterms:modified xsi:type="dcterms:W3CDTF">2025-12-19T16:01:18+08:00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