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TM-OHS-TMT-V1</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6.4.0 重大主題管理方針</w:t>
      </w:r>
    </w:p>
    <w:p>
      <w:pPr/>
      <w:r>
        <w:rPr/>
        <w:t xml:space="preserve"/>
      </w:r>
    </w:p>
    <w:p>
      <w:pPr>
        <w:spacing w:line="240" w:lineRule="auto"/>
      </w:pPr>
      <w:r>
        <w:rPr>
          <w:sz w:val="28"/>
          <w:szCs w:val="28"/>
          <w:b w:val="1"/>
          <w:bCs w:val="1"/>
          <w:u w:val="single"/>
        </w:rPr>
        <w:t xml:space="preserve">【重大主題管理方針】請說明公司營運活動會造成/或潛在可能造成的衝擊 (GRI 2-23、GRI 2-24)
(請參考備註欄提供的2024年報告書的內容，請確認是否需要修改？如需修改請一併填答)</w:t>
      </w:r>
    </w:p>
    <w:p>
      <w:pPr>
        <w:spacing w:line="240" w:lineRule="auto"/>
      </w:pPr>
      <w:r>
        <w:rPr>
          <w:sz w:val="22"/>
          <w:szCs w:val="22"/>
        </w:rPr>
        <w:t xml:space="preserve">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spacing w:line="240" w:lineRule="auto"/>
      </w:pPr>
      <w:r>
        <w:rPr/>
        <w:t xml:space="preserve">答案：不須修改</w:t>
      </w:r>
    </w:p>
    <w:p>
      <w:pPr/>
      <w:r>
        <w:rPr/>
        <w:t xml:space="preserve"/>
      </w:r>
    </w:p>
    <w:p>
      <w:pPr>
        <w:spacing w:line="240" w:lineRule="auto"/>
      </w:pPr>
      <w:r>
        <w:rPr>
          <w:sz w:val="28"/>
          <w:szCs w:val="28"/>
          <w:b w:val="1"/>
          <w:bCs w:val="1"/>
          <w:u w:val="single"/>
        </w:rPr>
        <w:t xml:space="preserve">【重大主題管理方針】管理政策：
請說明貴公司內部有哪些相關的政策或準則等，以利同仁依循與推行? 外部法規要求為何?(GRI 2-23、GRI 2-24)
(請參考備註欄提供的2024年報告書的內容，請確認是否需要修改)</w:t>
      </w:r>
    </w:p>
    <w:p>
      <w:pPr>
        <w:spacing w:line="240" w:lineRule="auto"/>
      </w:pPr>
      <w:r>
        <w:rPr>
          <w:sz w:val="22"/>
          <w:szCs w:val="22"/>
        </w:rPr>
        <w:t xml:space="preserve">2024報告書：
1.第一傳動制定作業環境監測管理規範、職業安全衛生管理程序、職業安全衛生工作守則
2.東莞堤摩訊已建立基本的職業安全衛生制度並執行 ，如環安委員會管理規範、工安事故管理規範、工傷(職災)管理規範、入職體檢及定期員工體檢、廚房人員定期健康體檢、化學品管理規範、緊急應變管理規範等文件
</w:t>
      </w:r>
    </w:p>
    <w:p>
      <w:pPr>
        <w:spacing w:line="240" w:lineRule="auto"/>
      </w:pPr>
      <w:r>
        <w:rPr/>
        <w:t xml:space="preserve">答案：1.第一傳動制定作業環境監測管理規範、職業安全衛生管理程序、職業安全衛生工作守則、意外事故管理規範、飲用水管理規範、作業環境監測管理規範</w:t>
      </w:r>
    </w:p>
    <w:p>
      <w:pPr/>
      <w:r>
        <w:rPr/>
        <w:t xml:space="preserve"/>
      </w:r>
    </w:p>
    <w:p>
      <w:pPr>
        <w:spacing w:line="240" w:lineRule="auto"/>
      </w:pPr>
      <w:r>
        <w:rPr>
          <w:sz w:val="28"/>
          <w:szCs w:val="28"/>
          <w:b w:val="1"/>
          <w:bCs w:val="1"/>
          <w:u w:val="single"/>
        </w:rPr>
        <w:t xml:space="preserve">【重大主題管理方針】請問貴公司在職業安全衛生的承諾為何? (GRI 2-23、GRI 2-24)
(請參考備註欄提供的2024年報告書的內容，請確認是否需要修改)</w:t>
      </w:r>
    </w:p>
    <w:p>
      <w:pPr>
        <w:spacing w:line="240" w:lineRule="auto"/>
      </w:pPr>
      <w:r>
        <w:rPr>
          <w:sz w:val="22"/>
          <w:szCs w:val="22"/>
        </w:rPr>
        <w:t xml:space="preserve">2024報告書內容：
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w:t>
      </w:r>
    </w:p>
    <w:p>
      <w:pPr>
        <w:spacing w:line="240" w:lineRule="auto"/>
      </w:pPr>
      <w:r>
        <w:rPr/>
        <w:t xml:space="preserve">答案：1.承諾持續提供安全的工作環境與健康保護機制，確保每位同仁都能在無後顧之憂的環境中工作與成長。透過職業安全衛生政策，落實作業安全與健康促進，並結合永續管理目標推動企業責任。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4.導入職業醫師和護理師臨場服務與推行四大計畫（過勞預防、母性健康、不法侵害、人因性危害），能有效降低職業病發生、提升員工整體健康與福祉，並透過健康檢查分析、適性配工、個案管理、環境改善等措施，達到預防職業傷病、降低企業營運風險、增強企業競爭力，並符合法規要求，最終促進企業永續發展。</w:t>
      </w:r>
    </w:p>
    <w:p>
      <w:pPr/>
      <w:r>
        <w:rPr/>
        <w:t xml:space="preserve"/>
      </w:r>
    </w:p>
    <w:p>
      <w:pPr>
        <w:spacing w:line="240" w:lineRule="auto"/>
      </w:pPr>
      <w:r>
        <w:rPr>
          <w:sz w:val="28"/>
          <w:szCs w:val="28"/>
          <w:b w:val="1"/>
          <w:bCs w:val="1"/>
          <w:u w:val="single"/>
        </w:rPr>
        <w:t xml:space="preserve">【重大主題管理方針】請說明負責管理此議題的單位、聯繫窗口(GRI 2-23、GRI 2-24)
(請參考備註欄提供的2024年報告書的內容，請確認是否需要修改)</w:t>
      </w:r>
    </w:p>
    <w:p>
      <w:pPr>
        <w:spacing w:line="240" w:lineRule="auto"/>
      </w:pPr>
      <w:r>
        <w:rPr>
          <w:sz w:val="22"/>
          <w:szCs w:val="22"/>
        </w:rPr>
        <w:t xml:space="preserve">2024報告書內容：
生產單位、環安單位</w:t>
      </w:r>
    </w:p>
    <w:p>
      <w:pPr>
        <w:spacing w:line="240" w:lineRule="auto"/>
      </w:pPr>
      <w:r>
        <w:rPr/>
        <w:t xml:space="preserve">答案：不須修改</w:t>
      </w:r>
    </w:p>
    <w:p>
      <w:pPr/>
      <w:r>
        <w:rPr/>
        <w:t xml:space="preserve"/>
      </w:r>
    </w:p>
    <w:p>
      <w:pPr>
        <w:spacing w:line="240" w:lineRule="auto"/>
      </w:pPr>
      <w:r>
        <w:rPr>
          <w:sz w:val="28"/>
          <w:szCs w:val="28"/>
          <w:b w:val="1"/>
          <w:bCs w:val="1"/>
          <w:u w:val="single"/>
        </w:rPr>
        <w:t xml:space="preserve">【重大主題管理方針】確保行動有效作法：請說明職業安全衛生之管理流程、會議頻率、評估機制 (GRI 2-23、GRI 2-24)
(請參考備註欄提供的2024年報告書的內容，確認是否需要修改)</w:t>
      </w:r>
    </w:p>
    <w:p>
      <w:pPr>
        <w:spacing w:line="240" w:lineRule="auto"/>
      </w:pPr>
      <w:r>
        <w:rPr>
          <w:sz w:val="22"/>
          <w:szCs w:val="22"/>
        </w:rPr>
        <w:t xml:space="preserve">2024報告書：
東莞廠已經建立基本的職業安全衛生制度，並設置內部稽核機制，進行安全生產、食品安全、飲水管理、工傷事項管理(詳細資訊請見章節內文)</w:t>
      </w:r>
    </w:p>
    <w:p>
      <w:pPr>
        <w:spacing w:line="240" w:lineRule="auto"/>
      </w:pPr>
      <w:r>
        <w:rPr/>
        <w:t xml:space="preserve">答案：第一傳動已經設置環境暨職業安全衛生室，每週進行例行會議，針對環境保護及職業安全衛生各項議題進行討論；另外將成立職業安全衛生委員會，每季進行例行會議，負責審議、協調和建議職業安全衛生相關事項，主要工作包括：對安全衛生政策提供意見、審查教育訓練與環境監測計畫、審議職業災害調查報告、建議危害預防措施、考核管理績效等，目的是確保工作環境安全、保障勞工健康，並符合《職業安全衛生法》之要求。</w:t>
      </w:r>
    </w:p>
    <w:p>
      <w:pPr/>
      <w:r>
        <w:rPr/>
        <w:t xml:space="preserve"/>
      </w:r>
    </w:p>
    <w:p>
      <w:pPr>
        <w:spacing w:line="240" w:lineRule="auto"/>
      </w:pPr>
      <w:r>
        <w:rPr>
          <w:sz w:val="28"/>
          <w:szCs w:val="28"/>
          <w:b w:val="1"/>
          <w:bCs w:val="1"/>
          <w:u w:val="single"/>
        </w:rPr>
        <w:t xml:space="preserve">【重大主題管理方針】請問貴公司在職業安全衛生的指標以及具體的短中長期目標 (GRI 2-23、GRI 2-24)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短期(2026)目標</w:t>
            </w:r>
          </w:p>
        </w:tc>
        <w:tc>
          <w:tcPr>
            <w:tcW w:w="1800" w:type="dxa"/>
            <w:noWrap/>
          </w:tcPr>
          <w:p>
            <w:pPr>
              <w:jc w:val="center"/>
              <w:spacing w:line="240" w:lineRule="auto"/>
            </w:pPr>
            <w:r>
              <w:rPr>
                <w:sz w:val="24"/>
                <w:szCs w:val="24"/>
                <w:b w:val="1"/>
                <w:bCs w:val="1"/>
              </w:rPr>
              <w:t xml:space="preserve">中期(2030)目標</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每季一次，共 4次</w:t>
            </w:r>
          </w:p>
        </w:tc>
        <w:tc>
          <w:tcPr>
            <w:tcW w:w="1800" w:type="dxa"/>
            <w:noWrap/>
          </w:tcPr>
          <w:p>
            <w:pPr>
              <w:jc w:val="center"/>
              <w:spacing w:line="240" w:lineRule="auto"/>
            </w:pPr>
            <w:r>
              <w:rPr/>
              <w:t xml:space="preserve">每季一次，共 4次</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全員參與</w:t>
            </w:r>
          </w:p>
        </w:tc>
        <w:tc>
          <w:tcPr>
            <w:tcW w:w="1800" w:type="dxa"/>
            <w:noWrap/>
          </w:tcPr>
          <w:p>
            <w:pPr>
              <w:jc w:val="center"/>
              <w:spacing w:line="240" w:lineRule="auto"/>
            </w:pPr>
            <w:r>
              <w:rPr/>
              <w:t xml:space="preserve">全員參與</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5%以下</w:t>
            </w:r>
          </w:p>
        </w:tc>
        <w:tc>
          <w:tcPr>
            <w:tcW w:w="1800" w:type="dxa"/>
            <w:noWrap/>
          </w:tcPr>
          <w:p>
            <w:pPr>
              <w:jc w:val="center"/>
              <w:spacing w:line="240" w:lineRule="auto"/>
            </w:pPr>
            <w:r>
              <w:rPr/>
              <w:t xml:space="preserve">3%以下</w:t>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每季一次，共 4次</w:t>
            </w:r>
          </w:p>
        </w:tc>
        <w:tc>
          <w:tcPr>
            <w:tcW w:w="1800" w:type="dxa"/>
            <w:noWrap/>
          </w:tcPr>
          <w:p>
            <w:pPr>
              <w:jc w:val="center"/>
              <w:spacing w:line="240" w:lineRule="auto"/>
            </w:pPr>
            <w:r>
              <w:rPr/>
              <w:t xml:space="preserve">每季一次，共 4次</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全員參與</w:t>
            </w:r>
          </w:p>
        </w:tc>
        <w:tc>
          <w:tcPr>
            <w:tcW w:w="1800" w:type="dxa"/>
            <w:noWrap/>
          </w:tcPr>
          <w:p>
            <w:pPr>
              <w:jc w:val="center"/>
              <w:spacing w:line="240" w:lineRule="auto"/>
            </w:pPr>
            <w:r>
              <w:rPr/>
              <w:t xml:space="preserve">全員參與</w:t>
            </w:r>
          </w:p>
        </w:tc>
      </w:tr>
    </w:tbl>
    <w:p>
      <w:pPr/>
      <w:r>
        <w:rPr/>
        <w:t xml:space="preserve"/>
      </w:r>
    </w:p>
    <w:p>
      <w:pPr>
        <w:spacing w:line="240" w:lineRule="auto"/>
      </w:pPr>
      <w:r>
        <w:rPr>
          <w:sz w:val="28"/>
          <w:szCs w:val="28"/>
          <w:b w:val="1"/>
          <w:bCs w:val="1"/>
          <w:u w:val="single"/>
        </w:rPr>
        <w:t xml:space="preserve">【重大主題管理方針】2025年執行成效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目標</w:t>
            </w:r>
          </w:p>
        </w:tc>
        <w:tc>
          <w:tcPr>
            <w:tcW w:w="1800" w:type="dxa"/>
            <w:noWrap/>
          </w:tcPr>
          <w:p>
            <w:pPr>
              <w:jc w:val="center"/>
              <w:spacing w:line="240" w:lineRule="auto"/>
            </w:pPr>
            <w:r>
              <w:rPr>
                <w:sz w:val="24"/>
                <w:szCs w:val="24"/>
                <w:b w:val="1"/>
                <w:bCs w:val="1"/>
              </w:rPr>
              <w:t xml:space="preserve">2025年成果</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0次</w:t>
            </w:r>
          </w:p>
        </w:tc>
        <w:tc>
          <w:tcPr>
            <w:tcW w:w="1800" w:type="dxa"/>
            <w:noWrap/>
          </w:tcPr>
          <w:p>
            <w:pPr>
              <w:jc w:val="center"/>
              <w:spacing w:line="240" w:lineRule="auto"/>
            </w:pPr>
            <w:r>
              <w:rPr/>
              <w:t xml:space="preserve">0次</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0人</w:t>
            </w:r>
          </w:p>
        </w:tc>
        <w:tc>
          <w:tcPr>
            <w:tcW w:w="1800" w:type="dxa"/>
            <w:noWrap/>
          </w:tcPr>
          <w:p>
            <w:pPr>
              <w:jc w:val="center"/>
              <w:spacing w:line="240" w:lineRule="auto"/>
            </w:pPr>
            <w:r>
              <w:rPr/>
              <w:t xml:space="preserve">0人</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unknown</w:t>
            </w:r>
          </w:p>
        </w:tc>
        <w:tc>
          <w:tcPr>
            <w:tcW w:w="1800" w:type="dxa"/>
            <w:noWrap/>
          </w:tcPr>
          <w:p>
            <w:pPr>
              <w:jc w:val="center"/>
              <w:spacing w:line="240" w:lineRule="auto"/>
            </w:pPr>
            <w:r>
              <w:rPr/>
              <w:t xml:space="preserve">unknown</w:t>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0次</w:t>
            </w:r>
          </w:p>
        </w:tc>
        <w:tc>
          <w:tcPr>
            <w:tcW w:w="1800" w:type="dxa"/>
            <w:noWrap/>
          </w:tcPr>
          <w:p>
            <w:pPr>
              <w:jc w:val="center"/>
              <w:spacing w:line="240" w:lineRule="auto"/>
            </w:pPr>
            <w:r>
              <w:rPr/>
              <w:t xml:space="preserve">0次</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0人</w:t>
            </w:r>
          </w:p>
        </w:tc>
        <w:tc>
          <w:tcPr>
            <w:tcW w:w="1800" w:type="dxa"/>
            <w:noWrap/>
          </w:tcPr>
          <w:p>
            <w:pPr>
              <w:jc w:val="center"/>
              <w:spacing w:line="240" w:lineRule="auto"/>
            </w:pPr>
            <w:r>
              <w:rPr/>
              <w:t xml:space="preserve">0人</w:t>
            </w:r>
          </w:p>
        </w:tc>
      </w:tr>
    </w:tbl>
    <w:p>
      <w:pPr/>
      <w:r>
        <w:rPr/>
        <w:t xml:space="preserve"/>
      </w:r>
    </w:p>
    <w:p>
      <w:pPr>
        <w:spacing w:line="240" w:lineRule="auto"/>
      </w:pPr>
      <w:r>
        <w:rPr>
          <w:sz w:val="28"/>
          <w:szCs w:val="28"/>
          <w:b w:val="1"/>
          <w:bCs w:val="1"/>
          <w:u w:val="single"/>
        </w:rPr>
        <w:t xml:space="preserve">【重大主題管理方針】與利害關係人溝通
(請依照備註之說明填答)</w:t>
      </w:r>
    </w:p>
    <w:p>
      <w:pPr>
        <w:spacing w:line="240" w:lineRule="auto"/>
      </w:pPr>
      <w:r>
        <w:rPr>
          <w:sz w:val="22"/>
          <w:szCs w:val="22"/>
        </w:rPr>
        <w:t xml:space="preserve">頻率：每月/每季/每年/不定期
方式：如每季召開會議、每年於網站公開XXX數據資訊</w:t>
      </w:r>
    </w:p>
    <w:p>
      <w:pPr>
        <w:spacing w:line="240" w:lineRule="auto"/>
      </w:pPr>
      <w:r>
        <w:rPr/>
        <w:t xml:space="preserve">答案：目前無相關執行紀錄</w:t>
      </w:r>
    </w:p>
    <w:p>
      <w:pPr/>
      <w:r>
        <w:rPr/>
        <w:t xml:space="preserve"/>
      </w:r>
    </w:p>
    <w:p>
      <w:pPr>
        <w:spacing w:line="240" w:lineRule="auto"/>
      </w:pPr>
      <w:r>
        <w:rPr>
          <w:sz w:val="28"/>
          <w:szCs w:val="28"/>
          <w:b w:val="1"/>
          <w:bCs w:val="1"/>
          <w:u w:val="single"/>
        </w:rPr>
        <w:t xml:space="preserve">請提供佐證資料並上傳到公用區，如：政策承諾(建議有有董事長簽名)；上傳完成請於已上傳勾選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相關資料，如：政策承諾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請填寫取得ISO 45001驗證廠址員工數 (GRI 403-1) (GRI 403-8)</w:t>
      </w:r>
    </w:p>
    <w:p>
      <w:pPr>
        <w:spacing w:line="240" w:lineRule="auto"/>
      </w:pPr>
      <w:r>
        <w:rPr>
          <w:sz w:val="22"/>
          <w:szCs w:val="22"/>
        </w:rPr>
        <w:t xml:space="preserve">註：人數統計為2024年12月仍在職者。</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取得ISO 45001驗證廠址</w:t>
            </w:r>
          </w:p>
        </w:tc>
        <w:tc>
          <w:tcPr>
            <w:tcW w:w="1800" w:type="dxa"/>
            <w:noWrap/>
          </w:tcPr>
          <w:p>
            <w:pPr>
              <w:jc w:val="center"/>
              <w:spacing w:line="240" w:lineRule="auto"/>
            </w:pPr>
            <w:r>
              <w:rPr>
                <w:sz w:val="24"/>
                <w:szCs w:val="24"/>
                <w:b w:val="1"/>
                <w:bCs w:val="1"/>
              </w:rPr>
              <w:t xml:space="preserve">取得ISO 45001驗證-員工人數</w:t>
            </w:r>
          </w:p>
        </w:tc>
        <w:tc>
          <w:tcPr>
            <w:tcW w:w="1800" w:type="dxa"/>
            <w:noWrap/>
          </w:tcPr>
          <w:p>
            <w:pPr>
              <w:jc w:val="center"/>
              <w:spacing w:line="240" w:lineRule="auto"/>
            </w:pPr>
            <w:r>
              <w:rPr>
                <w:sz w:val="24"/>
                <w:szCs w:val="24"/>
                <w:b w:val="1"/>
                <w:bCs w:val="1"/>
              </w:rPr>
              <w:t xml:space="preserve">取得ISO 45001驗證-非員工人數</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請填寫未取得ISO 45001驗證廠址員工數 (GRI 403-1) (GRI 403-8)</w:t>
      </w:r>
    </w:p>
    <w:p>
      <w:pPr>
        <w:spacing w:line="240" w:lineRule="auto"/>
      </w:pPr>
      <w:r>
        <w:rPr>
          <w:sz w:val="22"/>
          <w:szCs w:val="22"/>
        </w:rPr>
        <w:t xml:space="preserve">註：
1.人數統計為2024年12月仍在職者。
2.非員工指長期駐點服務廠商人員，其出勤比照員工。</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未取得ISO 45001驗證廠址</w:t>
            </w:r>
          </w:p>
        </w:tc>
        <w:tc>
          <w:tcPr>
            <w:tcW w:w="1800" w:type="dxa"/>
            <w:noWrap/>
          </w:tcPr>
          <w:p>
            <w:pPr>
              <w:jc w:val="center"/>
              <w:spacing w:line="240" w:lineRule="auto"/>
            </w:pPr>
            <w:r>
              <w:rPr>
                <w:sz w:val="24"/>
                <w:szCs w:val="24"/>
                <w:b w:val="1"/>
                <w:bCs w:val="1"/>
              </w:rPr>
              <w:t xml:space="preserve">未取得ISO 45001驗證-員工人數</w:t>
            </w:r>
          </w:p>
        </w:tc>
        <w:tc>
          <w:tcPr>
            <w:tcW w:w="1800" w:type="dxa"/>
            <w:noWrap/>
          </w:tcPr>
          <w:p>
            <w:pPr>
              <w:jc w:val="center"/>
              <w:spacing w:line="240" w:lineRule="auto"/>
            </w:pPr>
            <w:r>
              <w:rPr>
                <w:sz w:val="24"/>
                <w:szCs w:val="24"/>
                <w:b w:val="1"/>
                <w:bCs w:val="1"/>
              </w:rPr>
              <w:t xml:space="preserve">未取得ISO 45001驗證-非員工人數</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(請參考備註欄提供的2024年報告書的內容，請確認是否需要修改)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(請參考備註欄提供的2024年報告書的內容，請確認是否需要修改)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總公司(台北&amp;台中)-高度風險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總公司(台北&amp;台中)-中度風險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總公司(台北&amp;台中)-低度風險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請說明貴公司的事故調查流程依據的政策</w:t>
      </w:r>
    </w:p>
    <w:p>
      <w:pPr/>
      <w:r>
        <w:rPr/>
        <w:t xml:space="preserve"/>
      </w:r>
    </w:p>
    <w:p>
      <w:pPr>
        <w:spacing w:line="240" w:lineRule="auto"/>
      </w:pPr>
      <w:r>
        <w:rPr>
          <w:sz w:val="28"/>
          <w:szCs w:val="28"/>
          <w:b w:val="1"/>
          <w:bCs w:val="1"/>
          <w:u w:val="single"/>
        </w:rPr>
        <w:t xml:space="preserve">請說明貴公司事故的調查流程</w:t>
      </w:r>
    </w:p>
    <w:p>
      <w:pPr/>
      <w:r>
        <w:rPr/>
        <w:t xml:space="preserve"/>
      </w:r>
    </w:p>
    <w:p>
      <w:pPr>
        <w:spacing w:line="240" w:lineRule="auto"/>
      </w:pPr>
      <w:r>
        <w:rPr>
          <w:sz w:val="28"/>
          <w:szCs w:val="28"/>
          <w:b w:val="1"/>
          <w:bCs w:val="1"/>
          <w:u w:val="single"/>
        </w:rPr>
        <w:t xml:space="preserve">職安衛管理是否有納入保全及承攬商？有無對保全及承攬商進行職安衛的相關說明？</w:t>
      </w:r>
    </w:p>
    <w:p>
      <w:pPr/>
      <w:r>
        <w:rPr/>
        <w:t xml:space="preserve"/>
      </w:r>
    </w:p>
    <w:p>
      <w:pPr>
        <w:spacing w:line="240" w:lineRule="auto"/>
      </w:pPr>
      <w:r>
        <w:rPr>
          <w:sz w:val="28"/>
          <w:szCs w:val="28"/>
          <w:b w:val="1"/>
          <w:bCs w:val="1"/>
          <w:u w:val="single"/>
        </w:rPr>
        <w:t xml:space="preserve">因應2025年台中廠擴廠(新廠建置)，對保全、相關的承攬商有哪些職安衛管理措施？是否有針對工人的安全進行管理措施？</w:t>
      </w:r>
    </w:p>
    <w:p>
      <w:pPr/>
      <w:r>
        <w:rPr/>
        <w:t xml:space="preserve"/>
      </w:r>
    </w:p>
    <w:p>
      <w:pPr>
        <w:spacing w:line="240" w:lineRule="auto"/>
      </w:pPr>
      <w:r>
        <w:rPr>
          <w:sz w:val="28"/>
          <w:szCs w:val="28"/>
          <w:b w:val="1"/>
          <w:bCs w:val="1"/>
          <w:u w:val="single"/>
        </w:rPr>
        <w:t xml:space="preserve">東莞廠裝修時，針對工人的安全有進行哪些管理措施？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bl>
    <w:p>
      <w:pPr/>
      <w:r>
        <w:rPr/>
        <w:t xml:space="preserve"/>
      </w:r>
    </w:p>
    <w:p>
      <w:pPr>
        <w:spacing w:line="240" w:lineRule="auto"/>
      </w:pPr>
      <w:r>
        <w:rPr>
          <w:sz w:val="28"/>
          <w:szCs w:val="28"/>
          <w:b w:val="1"/>
          <w:bCs w:val="1"/>
          <w:u w:val="single"/>
        </w:rPr>
        <w:t xml:space="preserve">因應2025年台中廠擴廠(新廠建置)，對於保全、承攬商有進行哪些健康風險管理、健康促進服務(例如遵守公司健康安全政策、定期檢查其作業環境與健康狀況等)(GRI 403-6)</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bl>
    <w:p>
      <w:pPr/>
      <w:r>
        <w:rPr/>
        <w:t xml:space="preserve"/>
      </w:r>
    </w:p>
    <w:p>
      <w:pPr>
        <w:spacing w:line="240" w:lineRule="auto"/>
      </w:pPr>
      <w:r>
        <w:rPr>
          <w:sz w:val="28"/>
          <w:szCs w:val="28"/>
          <w:b w:val="1"/>
          <w:bCs w:val="1"/>
          <w:u w:val="single"/>
        </w:rPr>
        <w:t xml:space="preserve">因應2025年台中廠擴廠(新廠建置)，對於非員工之保全、承攬商有無進行職安的教育訓練，請提供教育訓練日期、參與總人次、總時數 (GRI 403-5)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請填寫虛驚事件及安全事件之次數(GRI 403-1) </w:t>
      </w:r>
    </w:p>
    <w:p>
      <w:pPr>
        <w:spacing w:line="240" w:lineRule="auto"/>
      </w:pPr>
      <w:r>
        <w:rPr>
          <w:sz w:val="22"/>
          <w:szCs w:val="22"/>
        </w:rPr>
        <w:t xml:space="preserve">註1：虛驚事件意指與工作相關，並未對人員造成傷害或疾病，但有可能導致傷病發生之事件。(GRI 403-1、OSO 45001:2018)</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虛驚事件-廠區內</w:t>
            </w:r>
          </w:p>
        </w:tc>
        <w:tc>
          <w:tcPr>
            <w:tcW w:w="1800" w:type="dxa"/>
            <w:noWrap/>
          </w:tcPr>
          <w:p>
            <w:pPr>
              <w:jc w:val="center"/>
              <w:spacing w:line="240" w:lineRule="auto"/>
            </w:pPr>
            <w:r>
              <w:rPr>
                <w:sz w:val="24"/>
                <w:szCs w:val="24"/>
                <w:b w:val="1"/>
                <w:bCs w:val="1"/>
              </w:rPr>
              <w:t xml:space="preserve">虛驚事件-廠區外</w:t>
            </w:r>
          </w:p>
        </w:tc>
        <w:tc>
          <w:tcPr>
            <w:tcW w:w="1800" w:type="dxa"/>
            <w:noWrap/>
          </w:tcPr>
          <w:p>
            <w:pPr>
              <w:jc w:val="center"/>
              <w:spacing w:line="240" w:lineRule="auto"/>
            </w:pPr>
            <w:r>
              <w:rPr>
                <w:sz w:val="24"/>
                <w:szCs w:val="24"/>
                <w:b w:val="1"/>
                <w:bCs w:val="1"/>
              </w:rPr>
              <w:t xml:space="preserve">安全事件-廠區內</w:t>
            </w:r>
          </w:p>
        </w:tc>
        <w:tc>
          <w:tcPr>
            <w:tcW w:w="1800" w:type="dxa"/>
            <w:noWrap/>
          </w:tcPr>
          <w:p>
            <w:pPr>
              <w:jc w:val="center"/>
              <w:spacing w:line="240" w:lineRule="auto"/>
            </w:pPr>
            <w:r>
              <w:rPr>
                <w:sz w:val="24"/>
                <w:szCs w:val="24"/>
                <w:b w:val="1"/>
                <w:bCs w:val="1"/>
              </w:rPr>
              <w:t xml:space="preserve">安全事件-廠區外(通勤)</w:t>
            </w:r>
          </w:p>
        </w:tc>
      </w:tr>
    </w:tbl>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總公司(台北)-頻率</w:t>
            </w:r>
          </w:p>
        </w:tc>
        <w:tc>
          <w:tcPr>
            <w:tcW w:w="1800" w:type="dxa"/>
            <w:noWrap/>
          </w:tcPr>
          <w:p>
            <w:pPr>
              <w:jc w:val="center"/>
              <w:spacing w:line="240" w:lineRule="auto"/>
            </w:pPr>
            <w:r>
              <w:rPr>
                <w:sz w:val="24"/>
                <w:szCs w:val="24"/>
                <w:b w:val="1"/>
                <w:bCs w:val="1"/>
              </w:rPr>
              <w:t xml:space="preserve">總公司(台北)-受檢人數</w:t>
            </w:r>
          </w:p>
        </w:tc>
        <w:tc>
          <w:tcPr>
            <w:tcW w:w="1800" w:type="dxa"/>
            <w:noWrap/>
          </w:tcPr>
          <w:p>
            <w:pPr>
              <w:jc w:val="center"/>
              <w:spacing w:line="240" w:lineRule="auto"/>
            </w:pPr>
            <w:r>
              <w:rPr>
                <w:sz w:val="24"/>
                <w:szCs w:val="24"/>
                <w:b w:val="1"/>
                <w:bCs w:val="1"/>
              </w:rPr>
              <w:t xml:space="preserve">總公司(台北)-項目是否優於當地法規</w:t>
            </w:r>
          </w:p>
        </w:tc>
        <w:tc>
          <w:tcPr>
            <w:tcW w:w="1800" w:type="dxa"/>
            <w:noWrap/>
          </w:tcPr>
          <w:p>
            <w:pPr>
              <w:jc w:val="center"/>
              <w:spacing w:line="240" w:lineRule="auto"/>
            </w:pPr>
            <w:r>
              <w:rPr>
                <w:sz w:val="24"/>
                <w:szCs w:val="24"/>
                <w:b w:val="1"/>
                <w:bCs w:val="1"/>
              </w:rPr>
              <w:t xml:space="preserve">台中-頻率</w:t>
            </w:r>
          </w:p>
        </w:tc>
        <w:tc>
          <w:tcPr>
            <w:tcW w:w="1800" w:type="dxa"/>
            <w:noWrap/>
          </w:tcPr>
          <w:p>
            <w:pPr>
              <w:jc w:val="center"/>
              <w:spacing w:line="240" w:lineRule="auto"/>
            </w:pPr>
            <w:r>
              <w:rPr>
                <w:sz w:val="24"/>
                <w:szCs w:val="24"/>
                <w:b w:val="1"/>
                <w:bCs w:val="1"/>
              </w:rPr>
              <w:t xml:space="preserve">台中-受檢人數</w:t>
            </w:r>
          </w:p>
        </w:tc>
        <w:tc>
          <w:tcPr>
            <w:tcW w:w="1800" w:type="dxa"/>
            <w:noWrap/>
          </w:tcPr>
          <w:p>
            <w:pPr>
              <w:jc w:val="center"/>
              <w:spacing w:line="240" w:lineRule="auto"/>
            </w:pPr>
            <w:r>
              <w:rPr>
                <w:sz w:val="24"/>
                <w:szCs w:val="24"/>
                <w:b w:val="1"/>
                <w:bCs w:val="1"/>
              </w:rPr>
              <w:t xml:space="preserve">台中-項目是否優於當地法規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東莞 TMC-頻率</w:t>
            </w:r>
          </w:p>
        </w:tc>
        <w:tc>
          <w:tcPr>
            <w:tcW w:w="1800" w:type="dxa"/>
            <w:noWrap/>
          </w:tcPr>
          <w:p>
            <w:pPr>
              <w:jc w:val="center"/>
              <w:spacing w:line="240" w:lineRule="auto"/>
            </w:pPr>
            <w:r>
              <w:rPr>
                <w:sz w:val="24"/>
                <w:szCs w:val="24"/>
                <w:b w:val="1"/>
                <w:bCs w:val="1"/>
              </w:rPr>
              <w:t xml:space="preserve">東莞 TMC-受檢人數</w:t>
            </w:r>
          </w:p>
        </w:tc>
        <w:tc>
          <w:tcPr>
            <w:tcW w:w="1800" w:type="dxa"/>
            <w:noWrap/>
          </w:tcPr>
          <w:p>
            <w:pPr>
              <w:jc w:val="center"/>
              <w:spacing w:line="240" w:lineRule="auto"/>
            </w:pPr>
            <w:r>
              <w:rPr>
                <w:sz w:val="24"/>
                <w:szCs w:val="24"/>
                <w:b w:val="1"/>
                <w:bCs w:val="1"/>
              </w:rPr>
              <w:t xml:space="preserve">東莞 TMC-項目是否優於當地法規</w:t>
            </w:r>
          </w:p>
        </w:tc>
        <w:tc>
          <w:tcPr>
            <w:tcW w:w="1800" w:type="dxa"/>
            <w:noWrap/>
          </w:tcPr>
          <w:p>
            <w:pPr>
              <w:jc w:val="center"/>
              <w:spacing w:line="240" w:lineRule="auto"/>
            </w:pPr>
            <w:r>
              <w:rPr>
                <w:sz w:val="24"/>
                <w:szCs w:val="24"/>
                <w:b w:val="1"/>
                <w:bCs w:val="1"/>
              </w:rPr>
              <w:t xml:space="preserve">法國 TME-頻率</w:t>
            </w:r>
          </w:p>
        </w:tc>
        <w:tc>
          <w:tcPr>
            <w:tcW w:w="1800" w:type="dxa"/>
            <w:noWrap/>
          </w:tcPr>
          <w:p>
            <w:pPr>
              <w:jc w:val="center"/>
              <w:spacing w:line="240" w:lineRule="auto"/>
            </w:pPr>
            <w:r>
              <w:rPr>
                <w:sz w:val="24"/>
                <w:szCs w:val="24"/>
                <w:b w:val="1"/>
                <w:bCs w:val="1"/>
              </w:rPr>
              <w:t xml:space="preserve">法國 TME-受檢人數</w:t>
            </w:r>
          </w:p>
        </w:tc>
        <w:tc>
          <w:tcPr>
            <w:tcW w:w="1800" w:type="dxa"/>
            <w:noWrap/>
          </w:tcPr>
          <w:p>
            <w:pPr>
              <w:jc w:val="center"/>
              <w:spacing w:line="240" w:lineRule="auto"/>
            </w:pPr>
            <w:r>
              <w:rPr>
                <w:sz w:val="24"/>
                <w:szCs w:val="24"/>
                <w:b w:val="1"/>
                <w:bCs w:val="1"/>
              </w:rPr>
              <w:t xml:space="preserve">法國 TME-項目是否優於當地法規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澳洲 TMA-頻率</w:t>
            </w:r>
          </w:p>
        </w:tc>
        <w:tc>
          <w:tcPr>
            <w:tcW w:w="1800" w:type="dxa"/>
            <w:noWrap/>
          </w:tcPr>
          <w:p>
            <w:pPr>
              <w:jc w:val="center"/>
              <w:spacing w:line="240" w:lineRule="auto"/>
            </w:pPr>
            <w:r>
              <w:rPr>
                <w:sz w:val="24"/>
                <w:szCs w:val="24"/>
                <w:b w:val="1"/>
                <w:bCs w:val="1"/>
              </w:rPr>
              <w:t xml:space="preserve">澳洲 TMA-受檢人數</w:t>
            </w:r>
          </w:p>
        </w:tc>
        <w:tc>
          <w:tcPr>
            <w:tcW w:w="1800" w:type="dxa"/>
            <w:noWrap/>
          </w:tcPr>
          <w:p>
            <w:pPr>
              <w:jc w:val="center"/>
              <w:spacing w:line="240" w:lineRule="auto"/>
            </w:pPr>
            <w:r>
              <w:rPr>
                <w:sz w:val="24"/>
                <w:szCs w:val="24"/>
                <w:b w:val="1"/>
                <w:bCs w:val="1"/>
              </w:rPr>
              <w:t xml:space="preserve">澳洲 TMA-項目是否優於當地法規</w:t>
            </w:r>
          </w:p>
        </w:tc>
        <w:tc>
          <w:tcPr>
            <w:tcW w:w="1800" w:type="dxa"/>
            <w:noWrap/>
          </w:tcPr>
          <w:p>
            <w:pPr>
              <w:jc w:val="center"/>
              <w:spacing w:line="240" w:lineRule="auto"/>
            </w:pPr>
            <w:r>
              <w:rPr>
                <w:sz w:val="24"/>
                <w:szCs w:val="24"/>
                <w:b w:val="1"/>
                <w:bCs w:val="1"/>
              </w:rPr>
              <w:t xml:space="preserve">美國 TMU-頻率</w:t>
            </w:r>
          </w:p>
        </w:tc>
        <w:tc>
          <w:tcPr>
            <w:tcW w:w="1800" w:type="dxa"/>
            <w:noWrap/>
          </w:tcPr>
          <w:p>
            <w:pPr>
              <w:jc w:val="center"/>
              <w:spacing w:line="240" w:lineRule="auto"/>
            </w:pPr>
            <w:r>
              <w:rPr>
                <w:sz w:val="24"/>
                <w:szCs w:val="24"/>
                <w:b w:val="1"/>
                <w:bCs w:val="1"/>
              </w:rPr>
              <w:t xml:space="preserve">美國 TMU-受檢人數</w:t>
            </w:r>
          </w:p>
        </w:tc>
        <w:tc>
          <w:tcPr>
            <w:tcW w:w="1800" w:type="dxa"/>
            <w:noWrap/>
          </w:tcPr>
          <w:p>
            <w:pPr>
              <w:jc w:val="center"/>
              <w:spacing w:line="240" w:lineRule="auto"/>
            </w:pPr>
            <w:r>
              <w:rPr>
                <w:sz w:val="24"/>
                <w:szCs w:val="24"/>
                <w:b w:val="1"/>
                <w:bCs w:val="1"/>
              </w:rPr>
              <w:t xml:space="preserve">美國 TMU-項目是否優於當地法規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日本 TMJ-頻率</w:t>
            </w:r>
          </w:p>
        </w:tc>
        <w:tc>
          <w:tcPr>
            <w:tcW w:w="1800" w:type="dxa"/>
            <w:noWrap/>
          </w:tcPr>
          <w:p>
            <w:pPr>
              <w:jc w:val="center"/>
              <w:spacing w:line="240" w:lineRule="auto"/>
            </w:pPr>
            <w:r>
              <w:rPr>
                <w:sz w:val="24"/>
                <w:szCs w:val="24"/>
                <w:b w:val="1"/>
                <w:bCs w:val="1"/>
              </w:rPr>
              <w:t xml:space="preserve">日本 TMJ-受檢人數</w:t>
            </w:r>
          </w:p>
        </w:tc>
        <w:tc>
          <w:tcPr>
            <w:tcW w:w="1800" w:type="dxa"/>
            <w:noWrap/>
          </w:tcPr>
          <w:p>
            <w:pPr>
              <w:jc w:val="center"/>
              <w:spacing w:line="240" w:lineRule="auto"/>
            </w:pPr>
            <w:r>
              <w:rPr>
                <w:sz w:val="24"/>
                <w:szCs w:val="24"/>
                <w:b w:val="1"/>
                <w:bCs w:val="1"/>
              </w:rPr>
              <w:t xml:space="preserve">日本 TMJ-項目是否優於當地法規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總公司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r>
        <w:rPr/>
        <w:t xml:space="preserve"/>
      </w:r>
    </w:p>
    <w:p>
      <w:pPr>
        <w:spacing w:line="240" w:lineRule="auto"/>
      </w:pPr>
      <w:r>
        <w:rPr>
          <w:sz w:val="28"/>
          <w:szCs w:val="28"/>
          <w:b w:val="1"/>
          <w:bCs w:val="1"/>
          <w:u w:val="single"/>
        </w:rPr>
        <w:t xml:space="preserve">高風險作業須於作業前申請許可及完成相關防護措施後始可作業。
2025年許可件數如下表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危險管路拆卸纘孔</w:t>
            </w:r>
          </w:p>
        </w:tc>
        <w:tc>
          <w:tcPr>
            <w:tcW w:w="1800" w:type="dxa"/>
            <w:noWrap/>
          </w:tcPr>
          <w:p>
            <w:pPr>
              <w:jc w:val="center"/>
              <w:spacing w:line="240" w:lineRule="auto"/>
            </w:pPr>
            <w:r>
              <w:rPr>
                <w:sz w:val="24"/>
                <w:szCs w:val="24"/>
                <w:b w:val="1"/>
                <w:bCs w:val="1"/>
              </w:rPr>
              <w:t xml:space="preserve">其他</w:t>
            </w:r>
          </w:p>
        </w:tc>
      </w:tr>
    </w:tbl>
    <w:p>
      <w:pPr/>
      <w:r>
        <w:rPr/>
        <w:t xml:space="preserve"/>
      </w:r>
    </w:p>
    <w:p>
      <w:pPr>
        <w:spacing w:line="240" w:lineRule="auto"/>
      </w:pPr>
      <w:r>
        <w:rPr>
          <w:sz w:val="28"/>
          <w:szCs w:val="28"/>
          <w:b w:val="1"/>
          <w:bCs w:val="1"/>
          <w:u w:val="single"/>
        </w:rPr>
        <w:t xml:space="preserve">請說明對機具設備的管理措施，包括機具維護、檢查制度、危害預防與改善流程等</w:t>
      </w:r>
    </w:p>
    <w:p>
      <w:pPr>
        <w:spacing w:line="240" w:lineRule="auto"/>
      </w:pPr>
      <w:r>
        <w:rPr>
          <w:sz w:val="22"/>
          <w:szCs w:val="22"/>
        </w:rPr>
        <w:t xml:space="preserve">說明：
本題是為了解公司如何確保工作場所中使用之機具、設備及作業環境的安全性，如：
1.機具與設備的安全設計、維護、檢查及改善機制
2.是否有針對機具操作人員進行教育訓練或資格管理</w:t>
      </w:r>
    </w:p>
    <w:p>
      <w:pPr/>
      <w:r>
        <w:rPr/>
        <w:t xml:space="preserve"/>
      </w:r>
    </w:p>
    <w:p>
      <w:pPr>
        <w:spacing w:line="240" w:lineRule="auto"/>
      </w:pPr>
      <w:r>
        <w:rPr>
          <w:sz w:val="28"/>
          <w:szCs w:val="28"/>
          <w:b w:val="1"/>
          <w:bCs w:val="1"/>
          <w:u w:val="single"/>
        </w:rPr>
        <w:t xml:space="preserve">請說明如何管制化學品使用
(可參考備註的2024年報告書內容)</w:t>
      </w:r>
    </w:p>
    <w:p>
      <w:pPr>
        <w:spacing w:line="240" w:lineRule="auto"/>
      </w:pPr>
      <w:r>
        <w:rPr>
          <w:sz w:val="22"/>
          <w:szCs w:val="22"/>
        </w:rPr>
        <w:t xml:space="preserve">2024年報告書內容：
東莞廠依照內部職業安全管理辦法，辦理內部稽核，並針對不符合事項進行追蹤改善計畫(節錄)
部分化學品缺失安全數據說明表(MSDS)之改善方案：
1. 環安專員定期檢查化學品使用單位，要求化學品使用現場公佈相關MSDS。
2. 如需購買新化學品，環安專員需提前確認MSDS信息，才能驗收新化學品。
3. 即將過期的MSDS，環安專員提前三個月通知化學品供應商更新MSDS。
</w:t>
      </w:r>
    </w:p>
    <w:p>
      <w:pPr/>
      <w:r>
        <w:rPr/>
        <w:t xml:space="preserve"/>
      </w:r>
    </w:p>
    <w:p>
      <w:pPr>
        <w:spacing w:line="240" w:lineRule="auto"/>
      </w:pPr>
      <w:r>
        <w:rPr>
          <w:sz w:val="28"/>
          <w:szCs w:val="28"/>
          <w:b w:val="1"/>
          <w:bCs w:val="1"/>
          <w:u w:val="single"/>
        </w:rPr>
        <w:t xml:space="preserve">【東莞廠】請上傳危險化學品八大類別清單至公用區，上傳完成後請勾選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2025-12-19T16:17:47+08:00</dcterms:created>
  <dcterms:modified xsi:type="dcterms:W3CDTF">2025-12-19T16:17:47+08:00</dcterms:modified>
</cp:coreProperties>
</file>

<file path=docProps/custom.xml><?xml version="1.0" encoding="utf-8"?>
<Properties xmlns="http://schemas.openxmlformats.org/officeDocument/2006/custom-properties" xmlns:vt="http://schemas.openxmlformats.org/officeDocument/2006/docPropsVTypes"/>
</file>