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spacing w:line="240" w:lineRule="auto"/>
      </w:pPr>
      <w:r>
        <w:rPr/>
        <w:t xml:space="preserve">答案：本公司依ISO9001基本要求，內部制定「風險和機遇控制程序」執行風險與機遇的分析及管理。包含公司對內外部環境要素的識別，要素包括但不限於政治因素、經濟因素、匯率、法律法規、自然環境、人力因素、市場、技術、供應鏈、品質控制，基礎設施、資訊安全等，由各職能部門針對所負責之業務範圍，依此程序要求之過程執行等級評估、因應之策略目標、提報及具體執行 ，以降低風險危害之可能衝擊，並把握機遇持續改進。
統籌部門: 經營企劃室
風險分析管理及策略目標執行部門: 總經理室暨各職能部門
會議召開頻率: 每年定期召開 1次管理評審會議
討論內容: 依據公司內外部環境變化，由各職能單位提報與營運有關之外部經營環境變化與公司內部營運有關之風險管理議題進行討論及決議，重點提報與之應對之策略目標、執行方案及時程計劃，副總級高階管理者聽取報告並執行確認。經營企劃室彙總各職能部門之風險與機遇的分析報告及對應策略目標，以總結報告的形式提報總經理核准。
回報董事會: 經營企劃室每年向董事會報告當年度管理評審會議中關於風險評估運作情形與各項議題討論與執行結果、並聽取與會董事們的指導意見，並承上啟下溝通追蹤後續相關營運活動規畫之調整與執行。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風險管理相關政策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請說明2025年運作情況 </w:t>
      </w:r>
    </w:p>
    <w:p>
      <w:pPr>
        <w:spacing w:line="240" w:lineRule="auto"/>
      </w:pPr>
      <w:r>
        <w:rPr/>
        <w:t xml:space="preserve">答案：2025年1月，各職能部門依其職能確認所面對的內外部環境的風險與機遇，製作完成因應之OGSM報告，年度持續依計劃執行。具體執行成效將於26年1月管審會完成後第二次資收提供清單。</w:t>
      </w:r>
    </w:p>
    <w:p>
      <w:pPr/>
      <w:r>
        <w:rPr/>
        <w:t xml:space="preserve"/>
      </w:r>
    </w:p>
    <w:p>
      <w:pPr>
        <w:spacing w:line="240" w:lineRule="auto"/>
      </w:pPr>
      <w:r>
        <w:rPr>
          <w:sz w:val="28"/>
          <w:szCs w:val="28"/>
          <w:b w:val="1"/>
          <w:bCs w:val="1"/>
          <w:u w:val="single"/>
        </w:rPr>
        <w:t xml:space="preserve">請說明公司風險管理運作流程 </w:t>
      </w:r>
    </w:p>
    <w:p>
      <w:pPr>
        <w:spacing w:line="240" w:lineRule="auto"/>
      </w:pPr>
      <w:r>
        <w:rPr/>
        <w:t xml:space="preserve">答案：公司營運之各類風險依 風險和機遇控制程序執行，針對公司所處的內外部環境影響及利害關係人的期望或要求執行識別、評價，策劃應對措施並追蹤措施執行後之成效。執行的頻率為每年初執行識別評價及行動計劃，年中持續執行，次年初完成成效Review.
（產品類的風析管理有特定工具，需在此說明？）</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風險管理運作流程圖</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風險分類與定義</w:t>
      </w:r>
    </w:p>
    <w:p>
      <w:pPr>
        <w:spacing w:line="240" w:lineRule="auto"/>
      </w:pPr>
      <w:r>
        <w:rPr/>
        <w:t xml:space="preserve">答案：風險在識別時，會定義其嚴重程度，包括是否會造成人身傷亡，財務損失大小等，及發生頻度，對應風險等級，定義是否會需有採取降低消除風險之行動定義。 具體見 風險和機遇控制程序6.3。</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風險分類相關檔案</w:t>
            </w:r>
          </w:p>
        </w:tc>
        <w:tc>
          <w:tcPr>
            <w:tcW w:w="1800" w:type="dxa"/>
            <w:noWrap/>
          </w:tcPr>
          <w:p>
            <w:pPr>
              <w:jc w:val="center"/>
              <w:spacing w:line="240" w:lineRule="auto"/>
            </w:pPr>
            <w:r>
              <w:rPr/>
              <w:t xml:space="preserve">未勾選</w:t>
            </w:r>
          </w:p>
        </w:tc>
      </w:tr>
    </w:tbl>
    <w:p>
      <w:pPr/>
      <w:r>
        <w:rPr/>
        <w:t xml:space="preserve"/>
      </w:r>
    </w:p>
    <w:p>
      <w:pPr>
        <w:spacing w:line="240" w:lineRule="auto"/>
      </w:pPr>
      <w:r>
        <w:rPr>
          <w:sz w:val="28"/>
          <w:szCs w:val="28"/>
          <w:b w:val="1"/>
          <w:bCs w:val="1"/>
          <w:u w:val="single"/>
        </w:rPr>
        <w:t xml:space="preserve">2025年執行情形與具體成效</w:t>
      </w:r>
    </w:p>
    <w:p>
      <w:pPr>
        <w:spacing w:line="240" w:lineRule="auto"/>
      </w:pPr>
      <w:r>
        <w:rPr/>
        <w:t xml:space="preserve">答案：2025年1月，各職能部門依其職能確認所面對的內外部環境的風險與機遇，製作完成因應之OGSM報告，年度持續依計劃執行。具體執行成效將於26年1月管審會完成後第二次資收提供清單。</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spacing w:line="240" w:lineRule="auto"/>
      </w:pPr>
      <w:r>
        <w:rPr/>
        <w:t xml:space="preserve">答案：具體見各部門OGSM之G及M定義。</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r>
        <w:trPr/>
        <w:tc>
          <w:tcPr>
            <w:tcW w:w="1800" w:type="dxa"/>
            <w:noWrap/>
          </w:tcPr>
          <w:p>
            <w:pPr>
              <w:jc w:val="center"/>
              <w:spacing w:line="240" w:lineRule="auto"/>
            </w:pPr>
            <w:r>
              <w:rPr>
                <w:sz w:val="24"/>
                <w:szCs w:val="24"/>
                <w:b w:val="1"/>
                <w:bCs w:val="1"/>
              </w:rPr>
              <w:t xml:space="preserve">環境─環境保護與管理</w:t>
            </w:r>
          </w:p>
        </w:tc>
        <w:tc>
          <w:tcPr>
            <w:tcW w:w="1800" w:type="dxa"/>
            <w:noWrap/>
          </w:tcPr>
          <w:p>
            <w:pPr>
              <w:jc w:val="center"/>
              <w:spacing w:line="240" w:lineRule="auto"/>
            </w:pPr>
            <w:r>
              <w:rPr/>
              <w:t xml:space="preserve">1.依合規義務控制程序，由專責環安人員定期檢視公司應合規的環境義務清單，並執行比對確認均有合規。
2.溫室氣體盤查各地依 溫室氣體盤查控制程序執行活動數據的收集及統計。
3.依環境運行控制程序要求，以國家和地方標準，執行環境監控，含大氣污染，噪音雜訊控制，污水控制，固體廢棄物處理，化學品油品危險品控制。</w:t>
            </w:r>
          </w:p>
        </w:tc>
        <w:tc>
          <w:tcPr>
            <w:tcW w:w="1800" w:type="dxa"/>
            <w:noWrap/>
          </w:tcPr>
          <w:p>
            <w:pPr>
              <w:jc w:val="center"/>
              <w:spacing w:line="240" w:lineRule="auto"/>
            </w:pPr>
            <w:r>
              <w:rPr/>
              <w:t xml:space="preserve">25年合規義務清單均確認符合。
25年無任何因環境污染違失事件。</w:t>
            </w:r>
          </w:p>
        </w:tc>
      </w:tr>
      <w:tr>
        <w:trPr/>
        <w:tc>
          <w:tcPr>
            <w:tcW w:w="1800" w:type="dxa"/>
            <w:noWrap/>
          </w:tcPr>
          <w:p>
            <w:pPr>
              <w:jc w:val="center"/>
              <w:spacing w:line="240" w:lineRule="auto"/>
            </w:pPr>
            <w:r>
              <w:rPr>
                <w:sz w:val="24"/>
                <w:szCs w:val="24"/>
                <w:b w:val="1"/>
                <w:bCs w:val="1"/>
              </w:rPr>
              <w:t xml:space="preserve">社會─職業安全衛生管理</w:t>
            </w:r>
          </w:p>
        </w:tc>
        <w:tc>
          <w:tcPr>
            <w:tcW w:w="1800" w:type="dxa"/>
            <w:noWrap/>
          </w:tcPr>
          <w:p>
            <w:pPr>
              <w:jc w:val="center"/>
              <w:spacing w:line="240" w:lineRule="auto"/>
            </w:pPr>
            <w:r>
              <w:rPr/>
              <w:t xml:space="preserve">環安委員會工作管理規範
化學品安全管理規範
天燃氣安全使用管理規範
機器設備安全操作指引
工傷管理規範
緊急應管管理規範</w:t>
            </w:r>
          </w:p>
        </w:tc>
        <w:tc>
          <w:tcPr>
            <w:tcW w:w="1800" w:type="dxa"/>
            <w:noWrap/>
          </w:tcPr>
          <w:p>
            <w:pPr>
              <w:jc w:val="center"/>
              <w:spacing w:line="240" w:lineRule="auto"/>
            </w:pPr>
            <w:r>
              <w:rPr/>
              <w:t xml:space="preserve">25的成果見環安組總結</w:t>
            </w:r>
          </w:p>
        </w:tc>
      </w:tr>
      <w:tr>
        <w:trPr/>
        <w:tc>
          <w:tcPr>
            <w:tcW w:w="1800" w:type="dxa"/>
            <w:noWrap/>
          </w:tcPr>
          <w:p>
            <w:pPr>
              <w:jc w:val="center"/>
              <w:spacing w:line="240" w:lineRule="auto"/>
            </w:pPr>
            <w:r>
              <w:rPr>
                <w:sz w:val="24"/>
                <w:szCs w:val="24"/>
                <w:b w:val="1"/>
                <w:bCs w:val="1"/>
              </w:rPr>
              <w:t xml:space="preserve">社會─產品管理</w:t>
            </w:r>
          </w:p>
        </w:tc>
        <w:tc>
          <w:tcPr>
            <w:tcW w:w="1800" w:type="dxa"/>
            <w:noWrap/>
          </w:tcPr>
          <w:p>
            <w:pPr>
              <w:jc w:val="center"/>
              <w:spacing w:line="240" w:lineRule="auto"/>
            </w:pPr>
            <w:r>
              <w:rPr/>
              <w:t xml:space="preserve">產品依風險分析和管理控制程序執行風險管控，包括於全生命同期。
量產品均依產品測量與監控程序執行測試驗證。</w:t>
            </w:r>
          </w:p>
        </w:tc>
        <w:tc>
          <w:tcPr>
            <w:tcW w:w="1800" w:type="dxa"/>
            <w:noWrap/>
          </w:tcPr>
          <w:p>
            <w:pPr>
              <w:jc w:val="center"/>
              <w:spacing w:line="240" w:lineRule="auto"/>
            </w:pPr>
            <w:r>
              <w:rPr/>
              <w:t xml:space="preserve">依規範執行。
</w:t>
            </w:r>
          </w:p>
        </w:tc>
      </w:tr>
      <w:tr>
        <w:trPr/>
        <w:tc>
          <w:tcPr>
            <w:tcW w:w="1800" w:type="dxa"/>
            <w:noWrap/>
          </w:tcPr>
          <w:p>
            <w:pPr>
              <w:jc w:val="center"/>
              <w:spacing w:line="240" w:lineRule="auto"/>
            </w:pPr>
            <w:r>
              <w:rPr>
                <w:sz w:val="24"/>
                <w:szCs w:val="24"/>
                <w:b w:val="1"/>
                <w:bCs w:val="1"/>
              </w:rPr>
              <w:t xml:space="preserve">公司治理─社會經濟與法令遵循</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公司治理─強化董事職能</w:t>
            </w:r>
          </w:p>
        </w:tc>
        <w:tc>
          <w:tcPr>
            <w:tcW w:w="1800" w:type="dxa"/>
            <w:noWrap/>
          </w:tcPr>
          <w:p>
            <w:pPr>
              <w:jc w:val="center"/>
              <w:spacing w:line="240" w:lineRule="auto"/>
            </w:pPr>
            <w:r>
              <w:rPr/>
              <w:t xml:space="preserve">董事會於公司治理與風險管理中所扮演關鍵角色，為強化董事會職能並確保公司永續經營，本公司已建立完善之董事會治理架構，將風險監督、策略指引及永續議題管理納入董事會核心職責。
董事會負責監督公司整體風險管理架構之有效性，包含營運風險、法規遵循風險、財務風險、資訊安全風險、ESG 相關風險及重大策略風險。董事會透過制度化之會議運作、委員會分工及定期報告機制，確保風險能被即時辨識、評估與妥善管理。</w:t>
            </w:r>
          </w:p>
        </w:tc>
        <w:tc>
          <w:tcPr>
            <w:tcW w:w="1800" w:type="dxa"/>
            <w:noWrap/>
          </w:tcPr>
          <w:p>
            <w:pPr>
              <w:jc w:val="center"/>
              <w:spacing w:line="240" w:lineRule="auto"/>
            </w:pPr>
            <w:r>
              <w:rPr/>
              <w:t xml:space="preserve">25年已基於法令標準，建立發行並執行：
1. 董事及監察人選任程序
2.董事會議事規範，每季召開一次董事會。
3.監察人之職權範疇規則
詳附件內容。</w:t>
            </w:r>
          </w:p>
        </w:tc>
      </w:tr>
      <w:tr>
        <w:trPr/>
        <w:tc>
          <w:tcPr>
            <w:tcW w:w="1800" w:type="dxa"/>
            <w:noWrap/>
          </w:tcPr>
          <w:p>
            <w:pPr>
              <w:jc w:val="center"/>
              <w:spacing w:line="240" w:lineRule="auto"/>
            </w:pPr>
            <w:r>
              <w:rPr>
                <w:sz w:val="24"/>
                <w:szCs w:val="24"/>
                <w:b w:val="1"/>
                <w:bCs w:val="1"/>
              </w:rPr>
              <w:t xml:space="preserve">公司治理─利害關係人溝通</w:t>
            </w:r>
          </w:p>
        </w:tc>
        <w:tc>
          <w:tcPr>
            <w:tcW w:w="1800" w:type="dxa"/>
            <w:noWrap/>
          </w:tcPr>
          <w:p>
            <w:pPr>
              <w:jc w:val="center"/>
              <w:spacing w:line="240" w:lineRule="auto"/>
            </w:pPr>
            <w:r>
              <w:rPr/>
              <w:t xml:space="preserve">每年度管審報告，執行“相關方需求與期望分析報告”，依業務職能，由各部門分析內外部利益相關方的相關需求，確認對應的方式，並過一步明定對應方式之執行方式與時機。</w:t>
            </w:r>
          </w:p>
        </w:tc>
        <w:tc>
          <w:tcPr>
            <w:tcW w:w="1800" w:type="dxa"/>
            <w:noWrap/>
          </w:tcPr>
          <w:p>
            <w:pPr>
              <w:jc w:val="center"/>
              <w:spacing w:line="240" w:lineRule="auto"/>
            </w:pPr>
            <w:r>
              <w:rPr/>
              <w:t xml:space="preserve">2025年1月由管理層主持之管理評審會議執行，並形成記錄。具體見附件。</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spacing w:line="240" w:lineRule="auto"/>
      </w:pPr>
      <w:r>
        <w:rPr/>
        <w:t xml:space="preserve">答案：1.地緣政治及關稅影響 - 分散生產地，增加營運據地。 25年新增越南工廠的建置。 臺中工廠依照稅率執行快速轉廠應變。
2.成本競爭 -  成立專職專責專案例會形式，設定各類成本管控目標，專案會議持續追蹤PDCA執行成果。
3.導入新的產品應用 - 新的應用帶來營收增加的同時，風險也同時伴隨，全新領域的應用環境對產品可靠度要求更高，公司管理體系層面導入更加來苛的IATF16949及六大核心工具，研究並導入更嚴格謹慎的驗證過程，確保產品安全可靠，符合法規與客戶期待。 </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spacing w:line="240" w:lineRule="auto"/>
      </w:pPr>
      <w:r>
        <w:rPr/>
        <w:t xml:space="preserve">答案：關鍵材料的定義，依以下面向評分定義：停供風險，替代性，質量核心程度與技術創新 綜合評定。
公司使用的 關鍵材料 主要為 IC晶片及鋰電池。 
主要風險為：供應中斷，替代性，質量核心的程度。
主要管理的措施為：開發第二供應商。
（建議二次資收，請采購工程正式補充。）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2025-12-19T15:24:07+08:00</dcterms:created>
  <dcterms:modified xsi:type="dcterms:W3CDTF">2025-12-19T15:24:07+08:00</dcterms:modified>
</cp:coreProperties>
</file>

<file path=docProps/custom.xml><?xml version="1.0" encoding="utf-8"?>
<Properties xmlns="http://schemas.openxmlformats.org/officeDocument/2006/custom-properties" xmlns:vt="http://schemas.openxmlformats.org/officeDocument/2006/docPropsVTypes"/>
</file>