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spacing w:line="240" w:lineRule="auto"/>
      </w:pPr>
      <w:r>
        <w:rPr/>
        <w:t xml:space="preserve">答案：無調整</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spacing w:line="240" w:lineRule="auto"/>
      </w:pPr>
      <w:r>
        <w:rPr/>
        <w:t xml:space="preserve">答案：無調整</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spacing w:line="240" w:lineRule="auto"/>
      </w:pPr>
      <w:r>
        <w:rPr/>
        <w:t xml:space="preserve">答案：第一傳動基於營運決策效率之考量，目前由董事長兼任總經理，惟為強化董事會之獨立性與提升公司治理效能，預計於2026年12月召開股東會增選四席獨立董事，引進具專業背景與獨立判斷能力之董事會成員參與重大決策審議。
增選四席獨立董事後，董事會席次將擴增至九席，其中過半數為不具本公司員工或經理人身分之外部董事，以進一步強化董事會之獨立性與監督功能。</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spacing w:line="240" w:lineRule="auto"/>
      </w:pPr>
      <w:r>
        <w:rPr/>
        <w:t xml:space="preserve">答案：第一傳動董事會作為最高治理單位，對永續議題之衝擊管理負有監督與最終決策之責。
為具體落實永續策略，董事會授權高階管理階層組成「永續工作小組」，專責重大主題之識別、評估與管理。該小組下設公司治理、永續環境、人才發展、綠色設計及供應鏈管理等五大功能小組。
各小組依其職掌定期推動ESG相關管理作業，整合目標設定、績效追蹤及改善方案，並定期向董事會呈報執行成果，以確保永續管理之效能。
最近一次報告於 2025年4月25日 董事會中進行，針對 ESG 專案計劃與執行進度完成詳細說明。</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spacing w:line="240" w:lineRule="auto"/>
      </w:pPr>
      <w:r>
        <w:rPr/>
        <w:t xml:space="preserve">答案：(1)	董事會多元化：
本公司重視董事會成員之多元化組成，並依公司業務性質及發展需求，訂定適當之多元化政策。董事會組成除考量專業能力與經驗外，亦兼顧性別、年齡、國籍及文化背景等基本條件與價值，涵蓋以下兩大面向：
A.基本條件與價值：包含性別、年齡、國籍及文化等多元背景，並以女性董事席次達董事會總席次三分之一為目標，促進性別平衡與多元觀點之融入。
B.專業知識與技能：包含法律、會計、財務、產業、行銷或科技等專業背景，及相關領域之實務經驗，藉以強化董事會決策品質與監督效能。
為落實董事會成員多元化及強化治理結構，本公司於2025年6月30日提前完成第七屆董事會全面改選，新增一名具專業背景之外部董事，以導入外部觀點、強化董事會之多元性與外部監督功能，提升董事會決策之客觀性與多元性。
為進一步強化董事會之獨立性與提升公司治理，本公司規劃於2026年12月召開股東會增選四席獨立董事，引進具專業背景與獨立判斷能力之董事會成員參與重大決策審議。
增選四席獨立董事後，董事會席次將擴增至九席，其中過半數為不具本公司員工或經理人身分之外部董事，以進一步強化董事會之獨立性與監督功能。此外，董事會成員將至少納入1位女性董事，持續推動性別平衡與多元價值的融合，展現本公司對董事會多元化政策之承諾與落實。</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spacing w:line="240" w:lineRule="auto"/>
      </w:pPr>
      <w:r>
        <w:rPr/>
        <w:t xml:space="preserve">答案：同5.</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曾冠樹</w:t>
            </w:r>
          </w:p>
        </w:tc>
        <w:tc>
          <w:tcPr>
            <w:tcW w:w="1800" w:type="dxa"/>
            <w:noWrap/>
          </w:tcPr>
          <w:p>
            <w:pPr>
              <w:jc w:val="center"/>
              <w:spacing w:line="240" w:lineRule="auto"/>
            </w:pPr>
            <w:r>
              <w:rPr/>
              <w:t xml:space="preserve">董事長</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藍弘煒</w:t>
            </w:r>
          </w:p>
        </w:tc>
        <w:tc>
          <w:tcPr>
            <w:tcW w:w="1800" w:type="dxa"/>
            <w:noWrap/>
          </w:tcPr>
          <w:p>
            <w:pPr>
              <w:jc w:val="center"/>
              <w:spacing w:line="240" w:lineRule="auto"/>
            </w:pPr>
            <w:r>
              <w:rPr/>
              <w:t xml:space="preserve">副董事長</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吳周欣</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林煜暢</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r>
        <w:trPr/>
        <w:tc>
          <w:tcPr>
            <w:tcW w:w="1800" w:type="dxa"/>
            <w:noWrap/>
          </w:tcPr>
          <w:p>
            <w:pPr>
              <w:jc w:val="center"/>
              <w:spacing w:line="240" w:lineRule="auto"/>
            </w:pPr>
            <w:r>
              <w:rPr/>
              <w:t xml:space="preserve">蕭景仁</w:t>
            </w:r>
          </w:p>
        </w:tc>
        <w:tc>
          <w:tcPr>
            <w:tcW w:w="1800" w:type="dxa"/>
            <w:noWrap/>
          </w:tcPr>
          <w:p>
            <w:pPr>
              <w:jc w:val="center"/>
              <w:spacing w:line="240" w:lineRule="auto"/>
            </w:pPr>
            <w:r>
              <w:rPr/>
              <w:t xml:space="preserve">董事</w:t>
            </w:r>
          </w:p>
        </w:tc>
        <w:tc>
          <w:tcPr>
            <w:tcW w:w="1800" w:type="dxa"/>
            <w:noWrap/>
          </w:tcPr>
          <w:p>
            <w:pPr>
              <w:jc w:val="center"/>
              <w:spacing w:line="240" w:lineRule="auto"/>
            </w:pPr>
            <w:r>
              <w:rPr/>
              <w:t xml:space="preserve">男</w:t>
            </w:r>
          </w:p>
        </w:tc>
        <w:tc>
          <w:tcPr>
            <w:tcW w:w="1800" w:type="dxa"/>
            <w:noWrap/>
          </w:tcPr>
          <w:p>
            <w:pPr>
              <w:jc w:val="center"/>
              <w:spacing w:line="240" w:lineRule="auto"/>
            </w:pPr>
            <w:r>
              <w:rPr/>
              <w:t xml:space="preserve">ROC</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成功大學 電機所</w:t>
            </w:r>
          </w:p>
        </w:tc>
        <w:tc>
          <w:tcPr>
            <w:tcW w:w="1800" w:type="dxa"/>
            <w:noWrap/>
          </w:tcPr>
          <w:p>
            <w:pPr>
              <w:jc w:val="center"/>
              <w:spacing w:line="240" w:lineRule="auto"/>
            </w:pPr>
            <w:r>
              <w:rPr/>
              <w:t xml:space="preserve">TMC 董事長
TMJ 董事長
TMJ 董事長
TNV董事長
冠河(股)公司 董事長
開創(股)公司 董事
泓冠智能(股)公司 監察人
力州機電(股)公司 監察人
力菁(股)公司 監察人</w:t>
            </w:r>
          </w:p>
        </w:tc>
        <w:tc>
          <w:tcPr>
            <w:tcW w:w="1800" w:type="dxa"/>
            <w:noWrap/>
          </w:tcPr>
          <w:p>
            <w:pPr>
              <w:jc w:val="center"/>
              <w:spacing w:line="240" w:lineRule="auto"/>
            </w:pPr>
            <w:r>
              <w:rPr/>
              <w:t xml:space="preserve">加維(股)公司 業務協理&amp;生產副總</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輔仁大學 管研所</w:t>
            </w:r>
          </w:p>
        </w:tc>
        <w:tc>
          <w:tcPr>
            <w:tcW w:w="1800" w:type="dxa"/>
            <w:noWrap/>
          </w:tcPr>
          <w:p>
            <w:pPr>
              <w:jc w:val="center"/>
              <w:spacing w:line="240" w:lineRule="auto"/>
            </w:pPr>
            <w:r>
              <w:rPr/>
              <w:t xml:space="preserve">TMC 副董事長
MT 董事長
泓冠智能(股)公司 董事長
泓科智能(股)公司 董事長
開創(股)公司 董事長
力州機電(股)公司 董事
苡晴(股)公司 監察人</w:t>
            </w:r>
          </w:p>
        </w:tc>
        <w:tc>
          <w:tcPr>
            <w:tcW w:w="1800" w:type="dxa"/>
            <w:noWrap/>
          </w:tcPr>
          <w:p>
            <w:pPr>
              <w:jc w:val="center"/>
              <w:spacing w:line="240" w:lineRule="auto"/>
            </w:pPr>
            <w:r>
              <w:rPr/>
              <w:t xml:space="preserve">加維(股)公司 業務部經理 
松下產業科技(股)公司 主任</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台灣工業技術學院 機械所 </w:t>
            </w:r>
          </w:p>
        </w:tc>
        <w:tc>
          <w:tcPr>
            <w:tcW w:w="1800" w:type="dxa"/>
            <w:noWrap/>
          </w:tcPr>
          <w:p>
            <w:pPr>
              <w:jc w:val="center"/>
              <w:spacing w:line="240" w:lineRule="auto"/>
            </w:pPr>
            <w:r>
              <w:rPr/>
              <w:t xml:space="preserve">TMS 監事</w:t>
            </w:r>
          </w:p>
        </w:tc>
        <w:tc>
          <w:tcPr>
            <w:tcW w:w="1800" w:type="dxa"/>
            <w:noWrap/>
          </w:tcPr>
          <w:p>
            <w:pPr>
              <w:jc w:val="center"/>
              <w:spacing w:line="240" w:lineRule="auto"/>
            </w:pPr>
            <w:r>
              <w:rPr/>
              <w:t xml:space="preserve">加維(股)公司 課長
聲寶(股)公司 工程師
鴻海精密(股)公司 工程師</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雲林科技大學 工業設計系</w:t>
            </w:r>
          </w:p>
        </w:tc>
        <w:tc>
          <w:tcPr>
            <w:tcW w:w="1800" w:type="dxa"/>
            <w:noWrap/>
          </w:tcPr>
          <w:p>
            <w:pPr>
              <w:jc w:val="center"/>
              <w:spacing w:line="240" w:lineRule="auto"/>
            </w:pPr>
            <w:r>
              <w:rPr/>
              <w:t xml:space="preserve">TMS 執行董事兼總經理
TMA 董事長
TID 董事長</w:t>
            </w:r>
          </w:p>
        </w:tc>
        <w:tc>
          <w:tcPr>
            <w:tcW w:w="1800" w:type="dxa"/>
            <w:noWrap/>
          </w:tcPr>
          <w:p>
            <w:pPr>
              <w:jc w:val="center"/>
              <w:spacing w:line="240" w:lineRule="auto"/>
            </w:pPr>
            <w:r>
              <w:rPr/>
              <w:t xml:space="preserve">加維(股)公司 副課長
華城電機(股)公司 設計工程師</w:t>
            </w:r>
          </w:p>
        </w:tc>
      </w:tr>
      <w:tr>
        <w:trPr/>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靜宜大學 企管系</w:t>
            </w:r>
          </w:p>
        </w:tc>
        <w:tc>
          <w:tcPr>
            <w:tcW w:w="1800" w:type="dxa"/>
            <w:noWrap/>
          </w:tcPr>
          <w:p>
            <w:pPr>
              <w:jc w:val="center"/>
              <w:spacing w:line="240" w:lineRule="auto"/>
            </w:pPr>
            <w:r>
              <w:rPr/>
              <w:t xml:space="preserve">蕭氏投資有限公司 董事長</w:t>
            </w:r>
          </w:p>
        </w:tc>
        <w:tc>
          <w:tcPr>
            <w:tcW w:w="1800" w:type="dxa"/>
            <w:noWrap/>
          </w:tcPr>
          <w:p>
            <w:pPr>
              <w:jc w:val="center"/>
              <w:spacing w:line="240" w:lineRule="auto"/>
            </w:pPr>
            <w:r>
              <w:rPr/>
              <w:t xml:space="preserve">本公司全球業務副總</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9年以上</w:t>
            </w:r>
          </w:p>
        </w:tc>
        <w:tc>
          <w:tcPr>
            <w:tcW w:w="1800" w:type="dxa"/>
            <w:noWrap/>
          </w:tcPr>
          <w:p>
            <w:pPr>
              <w:jc w:val="center"/>
              <w:spacing w:line="240" w:lineRule="auto"/>
            </w:pPr>
            <w:r>
              <w:rPr/>
              <w:t xml:space="preserve">本公司總經理</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9年以上</w:t>
            </w:r>
          </w:p>
        </w:tc>
        <w:tc>
          <w:tcPr>
            <w:tcW w:w="1800" w:type="dxa"/>
            <w:noWrap/>
          </w:tcPr>
          <w:p>
            <w:pPr>
              <w:jc w:val="center"/>
              <w:spacing w:line="240" w:lineRule="auto"/>
            </w:pPr>
            <w:r>
              <w:rPr/>
              <w:t xml:space="preserve">本公司執行副總</w:t>
            </w:r>
          </w:p>
        </w:tc>
      </w:tr>
      <w:tr>
        <w:trPr/>
        <w:tc>
          <w:tcPr>
            <w:tcW w:w="1800" w:type="dxa"/>
            <w:noWrap/>
          </w:tcPr>
          <w:p>
            <w:pPr>
              <w:jc w:val="center"/>
              <w:spacing w:line="240" w:lineRule="auto"/>
            </w:pPr>
            <w:r>
              <w:rPr/>
              <w:t xml:space="preserve">51歲以上</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本公司資深副總</w:t>
            </w:r>
          </w:p>
        </w:tc>
      </w:tr>
      <w:tr>
        <w:trPr/>
        <w:tc>
          <w:tcPr>
            <w:tcW w:w="1800" w:type="dxa"/>
            <w:noWrap/>
          </w:tcPr>
          <w:p>
            <w:pPr>
              <w:jc w:val="center"/>
              <w:spacing w:line="240" w:lineRule="auto"/>
            </w:pPr>
            <w:r>
              <w:rPr/>
              <w:t xml:space="preserve">31-50歲</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本公司副總
</w:t>
            </w:r>
          </w:p>
        </w:tc>
      </w:tr>
      <w:tr>
        <w:trPr/>
        <w:tc>
          <w:tcPr>
            <w:tcW w:w="1800" w:type="dxa"/>
            <w:noWrap/>
          </w:tcPr>
          <w:p>
            <w:pPr>
              <w:jc w:val="center"/>
              <w:spacing w:line="240" w:lineRule="auto"/>
            </w:pPr>
            <w:r>
              <w:rPr/>
              <w:t xml:space="preserve">31-50歲</w:t>
            </w:r>
          </w:p>
        </w:tc>
        <w:tc>
          <w:tcPr>
            <w:tcW w:w="1800" w:type="dxa"/>
            <w:noWrap/>
          </w:tcPr>
          <w:p>
            <w:pPr>
              <w:jc w:val="center"/>
              <w:spacing w:line="240" w:lineRule="auto"/>
            </w:pPr>
            <w:r>
              <w:rPr/>
              <w:t xml:space="preserve">1-3年</w:t>
            </w:r>
          </w:p>
        </w:tc>
        <w:tc>
          <w:tcPr>
            <w:tcW w:w="1800" w:type="dxa"/>
            <w:noWrap/>
          </w:tcPr>
          <w:p>
            <w:pPr>
              <w:jc w:val="center"/>
              <w:spacing w:line="240" w:lineRule="auto"/>
            </w:pPr>
            <w:r>
              <w:rPr/>
              <w:t xml:space="preserve">無
</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spacing w:line="240" w:lineRule="auto"/>
      </w:pPr>
      <w:r>
        <w:rPr/>
        <w:t xml:space="preserve">答案：本公司目前尚未建置董事會績效評估機制。惟為強化公司治理並提升董事會整體運作效能，規劃於 2026 年訂定「董事會績效評估辦法」，明定每年辦理一次董事會績效之內部自我評估，並至少每三年委託外部獨立機構或具專業資格之第三方專家辦理外部評估。
預計自 2026 年起先行辦理董事會自評，以確保評估程序之客觀性與公正性；評估結果將提報董事會，作為持續精進董事會功能及改善公司治理之依據。</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本公司目前僅針對具公司員工身分之董事，依「教育訓練管理規範」，按年度規劃並安排相關專業訓練課程，以協助其履行職責並提升治理能力；惟對於非具公司員工身分之外部董事，目前尚未規劃相關進修課程。
預計自 2026 年起，將統一規劃全體董事參加公司治理及相關法規之教育訓練；未來上市後，將依「上市上櫃公司董事進修推行要點」規定，安排全體董事每年參與主管機關認可之進修課程並完成法定進修時數，以持續精進董事專業知識與職能表現，進而提升公司整體治理效能。</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spacing w:line="240" w:lineRule="auto"/>
      </w:pPr>
      <w:r>
        <w:rPr/>
        <w:t xml:space="preserve">答案：董事會為本公司永續議題及重大主題衝擊評估之最高監督與決策單位，負責確立相關管理方針，並授權高階管理層及永續工作小組辦理重大性分析與衝擊評估作業。永續工作小組彙整各部門提供之營運、風險與利害關係人相關資訊，歸納重大永續議題與衝擊結果，提報董事會審閱並確認報告內容之完整性與正確性，以確保符合 GRI 準則及本公司永續發展政策之要求。
永續報告書最終經董事會審議核准後正式對外發布，充分展現董事會在永續議題衝擊管理及決策監督上的關鍵角色與承諾。</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spacing w:line="240" w:lineRule="auto"/>
      </w:pPr>
      <w:r>
        <w:rPr/>
        <w:t xml:space="preserve">答案：為充分瞭解各界利害關係人之期望與關注議題，本公司參考 GRI 2021 年版準則及 AA1000 SES 利害關係人議合準則，建構重大主題衝擊評估流程。董事會為永續議題管理之最高治理單位，授權高階管理層與永續工作小組執行評估作業，並就評估結果及重大主題進行審議與核准。</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2025-12-19T15:24:31+08:00</dcterms:created>
  <dcterms:modified xsi:type="dcterms:W3CDTF">2025-12-19T15:24:31+08:00</dcterms:modified>
</cp:coreProperties>
</file>

<file path=docProps/custom.xml><?xml version="1.0" encoding="utf-8"?>
<Properties xmlns="http://schemas.openxmlformats.org/officeDocument/2006/custom-properties" xmlns:vt="http://schemas.openxmlformats.org/officeDocument/2006/docPropsVTypes"/>
</file>