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r>
        <w:trPr/>
        <w:tc>
          <w:tcPr>
            <w:tcW w:w="1800" w:type="dxa"/>
            <w:noWrap/>
          </w:tcPr>
          <w:p>
            <w:pPr>
              <w:jc w:val="center"/>
              <w:spacing w:line="240" w:lineRule="auto"/>
            </w:pPr>
            <w:r>
              <w:rPr>
                <w:sz w:val="24"/>
                <w:szCs w:val="24"/>
                <w:b w:val="1"/>
                <w:bCs w:val="1"/>
              </w:rPr>
              <w:t xml:space="preserve">董事會成員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風險管理相關政策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風險管理運作流程圖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風險分類相關檔案</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r>
        <w:trPr/>
        <w:tc>
          <w:tcPr>
            <w:tcW w:w="1800" w:type="dxa"/>
            <w:noWrap/>
          </w:tcPr>
          <w:p>
            <w:pPr>
              <w:jc w:val="center"/>
              <w:spacing w:line="240" w:lineRule="auto"/>
            </w:pPr>
            <w:r>
              <w:rPr>
                <w:sz w:val="24"/>
                <w:szCs w:val="24"/>
                <w:b w:val="1"/>
                <w:bCs w:val="1"/>
              </w:rPr>
              <w:t xml:space="preserve">環境─環境保護與管理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社會─職業安全衛生管理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社會─產品管理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公司治理─社會經濟與法令遵循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公司治理─強化董事職能</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公司治理─利害關係人溝通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r>
        <w:trPr/>
        <w:tc>
          <w:tcPr>
            <w:tcW w:w="1800" w:type="dxa"/>
            <w:noWrap/>
          </w:tcPr>
          <w:p>
            <w:pPr>
              <w:jc w:val="center"/>
              <w:spacing w:line="240" w:lineRule="auto"/>
            </w:pPr>
            <w:r>
              <w:rPr>
                <w:sz w:val="24"/>
                <w:szCs w:val="24"/>
                <w:b w:val="1"/>
                <w:bCs w:val="1"/>
              </w:rPr>
              <w:t xml:space="preserve">第一題</w:t>
            </w:r>
          </w:p>
        </w:tc>
        <w:tc>
          <w:tcPr>
            <w:tcW w:w="1800" w:type="dxa"/>
            <w:noWrap/>
          </w:tcPr>
          <w:p>
            <w:pPr>
              <w:jc w:val="center"/>
              <w:spacing w:line="240" w:lineRule="auto"/>
            </w:pPr>
            <w:r>
              <w:rPr/>
              <w:t xml:space="preserve">目前沒有 ISO27001 証書，預計2027 年會開始討論導入計劃。</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spacing w:line="240" w:lineRule="auto"/>
      </w:pPr>
      <w:r>
        <w:rPr/>
        <w:t xml:space="preserve">答案：依據年度計劃導入資安系統並執行資安防護相關措施，本年度無重大資安事件發生，整体運作良好:
1. 郵件備份、垃報郵件防護、進階郵件安全、文件加密，以及VPN雙因子認証等系統的監控與維運狀況良好，運作正常
2. 第1季-全集團電腦佈署 EDR Endpoint Detection and Response）端點偵測與回應系統，替換舊式防慣軟体，對電腦設備提供更進階的防護能力。
3. 第4季-導入 SOC 系統(Security Operations Center，資安運作中心)以集中監控、偵測、分析與應對資訊安全事件，提供全天候的資安防護能力。
4. 第4季-導入軟体資產管理系統，盤點設備的硬体配置、系統版本及安裝軟体，避免盜版問題，並可自動派送系統漏洞及更新程式，提升資安防護等級。
5. 第4季-進行伺服器及核心網路設備弱點掃描、Intranet, 及官網 等公司網站的滲透測試，並對自行開發的 Intranet 做原始程式的漏洞掃描，依據報告進行修補和強化，避免入侵破壞的事件。
6. 執行社交工程演練，摸擬寄送釣魚郵件來測試使用者的安全意識。
7. 強化 Intranet 的安全，增加 CDN 服務，避免 分散式阻斷攻擊 (Distributed Denial of Service) 的發生。
8. 調整 Intranet 雲端伺服器快照備份的的頻率和間隔，來提升系統回覆時間點的選擇能夠更彈性、更完整。
9 系統及資料定期備份，依照排定計劃執行還原演練，結果良好。
10. 第4季，對 ERP 系統各種職能權限的細項全面盤點，重設權限，以避免權限的濫發及安全隱患。
11. 執行資訊資產盤點及風險評估，檢視所有項目的風險值，因資安系統的防護以及相關措施的執行發揮一定的效用，風險值都在低中度可控之範圍，無高風險的項目。
12. 縮短 AD domain 及 ERP 系統帳號的密碼變更頻率每90天一次，並符合一定的長度、複雜及非重覆性，以增加暴力破解的難度
13. 擬定隔年資安防護升級計劃，研究導入零信任安全架構的資安系統，來降低不明人員及設備存取公司系統或資料的風險。
</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spacing w:line="240" w:lineRule="auto"/>
      </w:pPr>
      <w:r>
        <w:rPr/>
        <w:t xml:space="preserve">答案：正確</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【智慧營運】請說明2025年IT自動化系統專案的成果</w:t>
      </w:r>
    </w:p>
    <w:p>
      <w:pPr>
        <w:spacing w:line="240" w:lineRule="auto"/>
      </w:pPr>
      <w:r>
        <w:rPr/>
        <w:t xml:space="preserve">答案：第一傳動推動數位化的努力 
1. intranet Portal 入口網站 (2015~今天，持續發展、增加功能)
Intranet 系統由 IT 團隊自行開發，設計直覺、簡單、容易操作的介面，功能包含管理、營運、銷售、財務、生產 五大面向，並與 ERP 資料緊密串連。 
重要系統包含: 電子簽核系統、全球組織表連絡人資訊、規章及表單管理、應收及客戶信用管理、CRM 系統、成本分析、出貨及文件生成管理、預算管理、BU營運報表管理、產品開發及工程專案管理、績效考核、廠務電子看板、生產數據分析及報表、報價及樣品管理、工程 ECR/ECN 管理、客訴流程管理 等等…。 
Intranet 是集團全球同仁滿足日常作業資料及通訊需求的數位神經系統，大幅提升集團各單位的作業效率、及時性及準確性。 
2. 細胞線智能輔助生產系統  (2020 ~ 今天，進入第六階段專案計劃)
第一傳動以客制化生產為主要營業模式，對於小量多樣的訂單，需耗費大量工程人力手動進行接單後的生產前置作業，建立成品及材料件號、BOM 表、生產 SOP 等，工作繁重又容易出錯。 
IT 團隊開發細胞線生產系統結合電子規格碼檢索功能，在新的產品型式發表後，由工程師將規格選項與材料物件的關係，以及與生產流程與操作說明的關係，在 eBOM、eSOP及 eDrawing 系統的後台做設定。對於小量多樣的可安排在細胞線上生產的訂單，不需再事前人工編製 BOM 表、SOP 及工程圖等資料，可由系統依照規格碼自動生成。生產時在產線掃描製令上的規格條碼，在細胞線的各個工位的螢幕上即會顯示 SOP 操作指引，減少作業員教育訓練的時間及成本，並經由文字、照片及影片的說明，大幅降低出錯的機率。測試機台亦結合規格碼自動生成測試參數，減少人為輸入的時間浪費及錯誤。 
細胞生產線系統，經由智能化、系統化的作業模式，統一於Intranet 系統中進行產品基本資料的維護及存放，系統結合 AI 及專有名詞對照功能將 SOP 精準翻譯成多國語言，然後分享給全球各生產單位使用，提升生產資料的一致性，省去大量資料編輯的人力耗費，進而降低成本，提升效率。是第一傳動面對激烈市場競爭的有效利器。 
3. 產品查詢 AI 對話機器人 
隨著人工智慧技術的快速發展，AI 對話機器人（Chatbot）已成為企業數位轉型的重要工具之一。第一傳動的產品眾多且功能不斷的改版及疊代，要瞭解產品的功能參數及細節，需人工從各種的文件、型錄、或電子檔案中做查找，對新進人員會更困難，導入 AI 對話機器人能大幅提升使用者體驗與查詢效率。 
透過自然語言處理與知識庫整合，AI 對話機器人能理解自然語言輸入的問題，並即時回應相關的產品資訊，例如規格、價格、使用說明或配件建議等。相較於傳統的搜尋方式，AI 機器人可 24 小時自動運作，減少人力負擔，並提供快速且精準的回覆。 
IT Team 研究開發產品查詢-AI 機器人，建立一個能快速回應、多語言支援、並可持續學習優化的智慧查詢平台。整合企業內部資料庫及型錄文件等資料來源，確保產品資訊即時更新，並可依據使用者行為分析，持續改善回答準確度與互動體驗。總體而言，AI 對話機器人的導入不僅提升了企業的服務效率與顧客滿意度，也為未來智慧客服與自動化銷售奠定了重要基礎。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A直接經濟價值 (收入)：營業收入(1+2)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A直接經濟價值 (收入)：營業成本(1)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A直接經濟價值 (收入)：營業毛利(2)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B分配經濟價值：營運成本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B分配經濟價值：員工薪資與福利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B分配經濟價值：利息及股利分配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B分配經濟價值：支付政府款項</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B分配經濟價值：社區投資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C存留經濟價值(A+B)</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營業費用：推銷費用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營業費用：管理費用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營業費用：研究發展費用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營業利益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營業外收入(支出)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稅前淨利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所得稅費用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本期淨利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稅後其他綜合損益淨額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綜合損益總額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每股盈餘</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歐洲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北美洲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變化原因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2025-12-19T15:24:15+08:00</dcterms:created>
  <dcterms:modified xsi:type="dcterms:W3CDTF">2025-12-19T15:24:15+08:00</dcterms:modified>
</cp:coreProperties>
</file>

<file path=docProps/custom.xml><?xml version="1.0" encoding="utf-8"?>
<Properties xmlns="http://schemas.openxmlformats.org/officeDocument/2006/custom-properties" xmlns:vt="http://schemas.openxmlformats.org/officeDocument/2006/docPropsVTypes"/>
</file>