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負面(潛在)衝擊：本公司主要製造過程為購入原物料與零組件之後，進行注塑、切割、打磨、焊接、清洗、噴粉烤粉等加工與組裝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答案：本公司已在東莞廠導入環境管理系統 ISO 14001和ISO14064進行管理。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>
        <w:spacing w:line="240" w:lineRule="auto"/>
      </w:pPr>
      <w:r>
        <w:rPr/>
        <w:t xml:space="preserve">答案：東莞廠以“環境方針：保護環境，珍惜資源，實現可持續發展”為環境方針。
總經理承諾，制定並發佈環境方針和目標，以及績效指標，並大力宣傳貫徹實施。
通過現場巡視、內審、每月工作會議等方法來檢查目標、指標及管理方案
的實行情況。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答案：行管部梁淑華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答案：1. 每月例會內部稽核向高層報告各單位環境行為的抽查情況，每季度行管報告環境KPI達成情況。
2. 每年至少一次ISO14001內部審核，自查環境管控方案執行情況，並提出糾正改善要求
3. 每年至少一次管理評審，向高層報告過去一年環境管理體系運行情況
4. 確認ISO 14001 環境管理系統有效性：2025年12月完成外部稽核ISO 14001東莞廠一、二、四、六廠區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答案：政策：重要廢氣須做污染防治措施。廢氣處理設施定期維護保養。定期對廢氣排放進行檢測分析。
目標：廢氣排放符合國家排放標準，合規排放。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2025-12-19T16:20:40+08:00</dcterms:created>
  <dcterms:modified xsi:type="dcterms:W3CDTF">2025-12-19T16:20:40+08:00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