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!2025-Timotion-TW-HR -3</w:t>
      </w:r>
    </w:p>
    <w:p>
      <w:pPr>
        <w:jc w:val="center"/>
        <w:spacing w:line="240" w:lineRule="auto"/>
      </w:pPr>
      <w:r>
        <w:rPr>
          <w:sz w:val="36"/>
          <w:szCs w:val="36"/>
        </w:rPr>
        <w:t xml:space="preserve">6.1人權保障</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bl>
    <w:p>
      <w:pPr/>
      <w:r>
        <w:rPr/>
        <w:t xml:space="preserve"/>
      </w:r>
    </w:p>
    <w:p>
      <w:pPr>
        <w:spacing w:line="240" w:lineRule="auto"/>
      </w:pPr>
      <w:r>
        <w:rPr>
          <w:sz w:val="28"/>
          <w:szCs w:val="28"/>
          <w:b w:val="1"/>
          <w:bCs w:val="1"/>
          <w:u w:val="single"/>
        </w:rPr>
        <w:t xml:space="preserve">保全人員接受人權政策或程序的訓練 (GRI 410-1)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保全人員接受人權政策的百分比</w:t>
            </w:r>
          </w:p>
        </w:tc>
        <w:tc>
          <w:tcPr>
            <w:tcW w:w="1800" w:type="dxa"/>
            <w:noWrap/>
          </w:tcPr>
          <w:p>
            <w:pPr>
              <w:jc w:val="center"/>
              <w:spacing w:line="240" w:lineRule="auto"/>
            </w:pPr>
            <w:r>
              <w:rPr>
                <w:sz w:val="24"/>
                <w:szCs w:val="24"/>
                <w:b w:val="1"/>
                <w:bCs w:val="1"/>
              </w:rPr>
              <w:t xml:space="preserve">在保全工作中的運用</w:t>
            </w:r>
          </w:p>
        </w:tc>
        <w:tc>
          <w:tcPr>
            <w:tcW w:w="1800" w:type="dxa"/>
            <w:noWrap/>
          </w:tcPr>
          <w:p>
            <w:pPr>
              <w:jc w:val="center"/>
              <w:spacing w:line="240" w:lineRule="auto"/>
            </w:pPr>
            <w:r>
              <w:rPr>
                <w:sz w:val="24"/>
                <w:szCs w:val="24"/>
                <w:b w:val="1"/>
                <w:bCs w:val="1"/>
              </w:rPr>
              <w:t xml:space="preserve">外部培訓單位是否受過人權政策專業培訓</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w:t>
      </w:r>
    </w:p>
    <w:p>
      <w:pPr>
        <w:spacing w:line="240" w:lineRule="auto"/>
      </w:pPr>
      <w:r>
        <w:rPr>
          <w:sz w:val="22"/>
          <w:szCs w:val="22"/>
        </w:rPr>
        <w:t xml:space="preserve">(GRI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sz w:val="24"/>
                <w:szCs w:val="24"/>
                <w:b w:val="1"/>
                <w:bCs w:val="1"/>
              </w:rPr>
              <w:t xml:space="preserve">東莞-TMC-總計</w:t>
            </w:r>
          </w:p>
        </w:tc>
      </w:tr>
      <w:tr>
        <w:trPr/>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sz w:val="24"/>
                <w:szCs w:val="24"/>
                <w:b w:val="1"/>
                <w:bCs w:val="1"/>
              </w:rPr>
              <w:t xml:space="preserve">澳洲-TMA-總計</w:t>
            </w:r>
          </w:p>
        </w:tc>
      </w:tr>
      <w:tr>
        <w:trPr/>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sz w:val="24"/>
                <w:szCs w:val="24"/>
                <w:b w:val="1"/>
                <w:bCs w:val="1"/>
              </w:rPr>
              <w:t xml:space="preserve">日本-TMJ-總計</w:t>
            </w:r>
          </w:p>
        </w:tc>
      </w:tr>
      <w:tr>
        <w:trPr/>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sz w:val="24"/>
                <w:szCs w:val="24"/>
                <w:b w:val="1"/>
                <w:bCs w:val="1"/>
              </w:rPr>
              <w:t xml:space="preserve">全體-總計</w:t>
            </w:r>
          </w:p>
        </w:tc>
      </w:tr>
      <w:tr>
        <w:trPr/>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職級─總數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2025年員工組成人力結構-年齡</w:t>
      </w:r>
    </w:p>
    <w:p>
      <w:pPr>
        <w:spacing w:line="240" w:lineRule="auto"/>
      </w:pPr>
      <w:r>
        <w:rPr>
          <w:sz w:val="22"/>
          <w:szCs w:val="22"/>
        </w:rPr>
        <w:t xml:space="preserve">(GRI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sz w:val="24"/>
                <w:szCs w:val="24"/>
                <w:b w:val="1"/>
                <w:bCs w:val="1"/>
              </w:rPr>
              <w:t xml:space="preserve">東莞-TMC-總計</w:t>
            </w:r>
          </w:p>
        </w:tc>
      </w:tr>
      <w:tr>
        <w:trPr/>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sz w:val="24"/>
                <w:szCs w:val="24"/>
                <w:b w:val="1"/>
                <w:bCs w:val="1"/>
              </w:rPr>
              <w:t xml:space="preserve">澳洲-TMA-總計</w:t>
            </w:r>
          </w:p>
        </w:tc>
      </w:tr>
      <w:tr>
        <w:trPr/>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sz w:val="24"/>
                <w:szCs w:val="24"/>
                <w:b w:val="1"/>
                <w:bCs w:val="1"/>
              </w:rPr>
              <w:t xml:space="preserve">日本-TMJ-總計</w:t>
            </w:r>
          </w:p>
        </w:tc>
      </w:tr>
      <w:tr>
        <w:trPr/>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sz w:val="24"/>
                <w:szCs w:val="24"/>
                <w:b w:val="1"/>
                <w:bCs w:val="1"/>
              </w:rPr>
              <w:t xml:space="preserve">全體-總計</w:t>
            </w:r>
          </w:p>
        </w:tc>
      </w:tr>
      <w:tr>
        <w:trPr/>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年齡別─總數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2025年員工組成人力結構-雇用類型種類</w:t>
      </w:r>
    </w:p>
    <w:p>
      <w:pPr>
        <w:spacing w:line="240" w:lineRule="auto"/>
      </w:pPr>
      <w:r>
        <w:rPr>
          <w:sz w:val="22"/>
          <w:szCs w:val="22"/>
        </w:rPr>
        <w:t xml:space="preserve">(GRI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sz w:val="24"/>
                <w:szCs w:val="24"/>
                <w:b w:val="1"/>
                <w:bCs w:val="1"/>
              </w:rPr>
              <w:t xml:space="preserve">法國-TME-男性人數</w:t>
            </w:r>
          </w:p>
        </w:tc>
      </w:tr>
      <w:tr>
        <w:trPr/>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sz w:val="24"/>
                <w:szCs w:val="24"/>
                <w:b w:val="1"/>
                <w:bCs w:val="1"/>
              </w:rPr>
              <w:t xml:space="preserve">美國-TMU-男性人數</w:t>
            </w:r>
          </w:p>
        </w:tc>
      </w:tr>
      <w:tr>
        <w:trPr/>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sz w:val="24"/>
                <w:szCs w:val="24"/>
                <w:b w:val="1"/>
                <w:bCs w:val="1"/>
              </w:rPr>
              <w:t xml:space="preserve">其他海外地區-男性人數</w:t>
            </w:r>
          </w:p>
        </w:tc>
      </w:tr>
      <w:tr>
        <w:trPr/>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sz w:val="24"/>
                <w:szCs w:val="24"/>
                <w:b w:val="1"/>
                <w:bCs w:val="1"/>
              </w:rPr>
              <w:t xml:space="preserve">全體-總計</w:t>
            </w:r>
          </w:p>
        </w:tc>
      </w:tr>
      <w:tr>
        <w:trPr/>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雇用類型─總數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2025年員工組成人力結構-非員工</w:t>
      </w:r>
    </w:p>
    <w:p>
      <w:pPr>
        <w:spacing w:line="240" w:lineRule="auto"/>
      </w:pPr>
      <w:r>
        <w:rPr>
          <w:sz w:val="22"/>
          <w:szCs w:val="22"/>
        </w:rPr>
        <w:t xml:space="preserve">(GRI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sz w:val="24"/>
                <w:szCs w:val="24"/>
                <w:b w:val="1"/>
                <w:bCs w:val="1"/>
              </w:rPr>
              <w:t xml:space="preserve">東莞-TMC-總計</w:t>
            </w:r>
          </w:p>
        </w:tc>
      </w:tr>
      <w:tr>
        <w:trPr/>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非員工工作者─食堂人員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sz w:val="24"/>
                <w:szCs w:val="24"/>
                <w:b w:val="1"/>
                <w:bCs w:val="1"/>
              </w:rPr>
              <w:t xml:space="preserve">澳洲-TMA-總計</w:t>
            </w:r>
          </w:p>
        </w:tc>
      </w:tr>
      <w:tr>
        <w:trPr/>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非員工工作者─食堂人員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sz w:val="24"/>
                <w:szCs w:val="24"/>
                <w:b w:val="1"/>
                <w:bCs w:val="1"/>
              </w:rPr>
              <w:t xml:space="preserve">日本-TMJ-總計</w:t>
            </w:r>
          </w:p>
        </w:tc>
      </w:tr>
      <w:tr>
        <w:trPr/>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非員工工作者─食堂人員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sz w:val="24"/>
                <w:szCs w:val="24"/>
                <w:b w:val="1"/>
                <w:bCs w:val="1"/>
              </w:rPr>
              <w:t xml:space="preserve">全體-總計</w:t>
            </w:r>
          </w:p>
        </w:tc>
      </w:tr>
      <w:tr>
        <w:trPr/>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非員工工作者─食堂人員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非員工工作者─總數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r>
        <w:trPr/>
        <w:tc>
          <w:tcPr>
            <w:tcW w:w="1800" w:type="dxa"/>
            <w:noWrap/>
          </w:tcPr>
          <w:p>
            <w:pPr>
              <w:jc w:val="center"/>
              <w:spacing w:line="240" w:lineRule="auto"/>
            </w:pPr>
            <w:r>
              <w:rPr>
                <w:sz w:val="24"/>
                <w:szCs w:val="24"/>
                <w:b w:val="1"/>
                <w:bCs w:val="1"/>
              </w:rPr>
              <w:t xml:space="preserve">整體女性員工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創造業績單位的男/女性比率；並請說明：創造業績單位(貴公司自行定義 ，並說明該部門有何職能)</w:t>
      </w:r>
    </w:p>
    <w:p>
      <w:pPr>
        <w:spacing w:line="240" w:lineRule="auto"/>
      </w:pPr>
      <w:r>
        <w:rPr>
          <w:sz w:val="22"/>
          <w:szCs w:val="22"/>
        </w:rPr>
        <w:t xml:space="preserve">舉例可能有的單位：研發、技術工程、銷售</w:t>
      </w:r>
    </w:p>
    <w:p>
      <w:pPr/>
      <w:r>
        <w:rPr/>
        <w:t xml:space="preserve"/>
      </w:r>
    </w:p>
    <w:p>
      <w:pPr>
        <w:spacing w:line="240" w:lineRule="auto"/>
      </w:pPr>
      <w:r>
        <w:rPr>
          <w:sz w:val="28"/>
          <w:szCs w:val="28"/>
          <w:b w:val="1"/>
          <w:bCs w:val="1"/>
          <w:u w:val="single"/>
        </w:rPr>
        <w:t xml:space="preserve">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STEM職位：工作「內容」與科學、技術、工程、數學類相關的工作人數(可能包含研發、技術工程、資訊處)(*再與HR確認是否含財務)</w:t>
      </w:r>
    </w:p>
    <w:p>
      <w:pPr/>
      <w:r>
        <w:rPr/>
        <w:t xml:space="preserve"/>
      </w:r>
    </w:p>
    <w:p>
      <w:pPr>
        <w:spacing w:line="240" w:lineRule="auto"/>
      </w:pPr>
      <w:r>
        <w:rPr>
          <w:sz w:val="28"/>
          <w:szCs w:val="28"/>
          <w:b w:val="1"/>
          <w:bCs w:val="1"/>
          <w:u w:val="single"/>
        </w:rPr>
        <w:t xml:space="preserve">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r>
        <w:trPr/>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員工組成與多元化SASB
針對(a)高階管理階層、(b)非高階管理階層、(c)技術員工及(d)所有其他員工之(1)性別及(2)多元群體之代表性之百分比
</w:t>
      </w:r>
    </w:p>
    <w:p>
      <w:pPr>
        <w:spacing w:line="240" w:lineRule="auto"/>
      </w:pPr>
      <w:r>
        <w:rPr>
          <w:sz w:val="22"/>
          <w:szCs w:val="22"/>
        </w:rPr>
        <w:t xml:space="preserve">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5.多元群體可能根據諸如種族、民族、身心障礙狀態、原籍地、移民身份、原住民背景、年齡、社會經濟背景、宗教信仰、性取向或性別認同等方面來定義。</w:t>
      </w:r>
    </w:p>
    <w:p>
      <w:pPr/>
      <w:r>
        <w:rPr/>
        <w:t xml:space="preserve"/>
      </w:r>
    </w:p>
    <w:p>
      <w:pPr>
        <w:spacing w:line="240" w:lineRule="auto"/>
      </w:pPr>
      <w:r>
        <w:rPr>
          <w:sz w:val="28"/>
          <w:szCs w:val="28"/>
          <w:b w:val="1"/>
          <w:bCs w:val="1"/>
          <w:u w:val="single"/>
        </w:rPr>
        <w:t xml:space="preserve">員工組成與多元化SASB</w:t>
      </w:r>
    </w:p>
    <w:p>
      <w:pPr>
        <w:spacing w:line="240" w:lineRule="auto"/>
      </w:pPr>
      <w:r>
        <w:rPr>
          <w:sz w:val="22"/>
          <w:szCs w:val="22"/>
        </w:rPr>
        <w:t xml:space="preserve">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2025/12/31當日總人數</w:t>
            </w:r>
          </w:p>
        </w:tc>
        <w:tc>
          <w:tcPr>
            <w:tcW w:w="1800" w:type="dxa"/>
            <w:noWrap/>
          </w:tcPr>
          <w:p>
            <w:pPr>
              <w:jc w:val="center"/>
              <w:spacing w:line="240" w:lineRule="auto"/>
            </w:pPr>
            <w:r>
              <w:rPr>
                <w:sz w:val="24"/>
                <w:szCs w:val="24"/>
                <w:b w:val="1"/>
                <w:bCs w:val="1"/>
              </w:rPr>
              <w:t xml:space="preserve">2025/12/31當日男性人數</w:t>
            </w:r>
          </w:p>
        </w:tc>
        <w:tc>
          <w:tcPr>
            <w:tcW w:w="1800" w:type="dxa"/>
            <w:noWrap/>
          </w:tcPr>
          <w:p>
            <w:pPr>
              <w:jc w:val="center"/>
              <w:spacing w:line="240" w:lineRule="auto"/>
            </w:pPr>
            <w:r>
              <w:rPr>
                <w:sz w:val="24"/>
                <w:szCs w:val="24"/>
                <w:b w:val="1"/>
                <w:bCs w:val="1"/>
              </w:rPr>
              <w:t xml:space="preserve">2025/12/31當日女性人數</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重大主題管理方針-請提供人才資本管理相關的管理政策</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重大主題管理方針-請提供人才資本管理相關的管理承諾</w:t>
      </w:r>
    </w:p>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bl>
    <w:p>
      <w:pPr/>
      <w:r>
        <w:rPr/>
        <w:t xml:space="preserve"/>
      </w:r>
    </w:p>
    <w:p>
      <w:pPr>
        <w:spacing w:line="240" w:lineRule="auto"/>
      </w:pPr>
      <w:r>
        <w:rPr>
          <w:sz w:val="28"/>
          <w:szCs w:val="28"/>
          <w:b w:val="1"/>
          <w:bCs w:val="1"/>
          <w:u w:val="single"/>
        </w:rPr>
        <w:t xml:space="preserve">請說明上述新進率變化的原因(請各據點提供所屬據點的資料)</w:t>
      </w:r>
    </w:p>
    <w:p>
      <w:pPr/>
      <w:r>
        <w:rPr/>
        <w:t xml:space="preserve"/>
      </w:r>
    </w:p>
    <w:p>
      <w:pPr>
        <w:spacing w:line="240" w:lineRule="auto"/>
      </w:pPr>
      <w:r>
        <w:rPr>
          <w:sz w:val="28"/>
          <w:szCs w:val="28"/>
          <w:b w:val="1"/>
          <w:bCs w:val="1"/>
          <w:u w:val="single"/>
        </w:rPr>
        <w:t xml:space="preserve">
2025年離職率(請各據點提供所屬據點的資料)</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bl>
    <w:p>
      <w:pPr/>
      <w:r>
        <w:rPr/>
        <w:t xml:space="preserve"/>
      </w:r>
    </w:p>
    <w:p>
      <w:pPr>
        <w:spacing w:line="240" w:lineRule="auto"/>
      </w:pPr>
      <w:r>
        <w:rPr>
          <w:sz w:val="28"/>
          <w:szCs w:val="28"/>
          <w:b w:val="1"/>
          <w:bCs w:val="1"/>
          <w:u w:val="single"/>
        </w:rPr>
        <w:t xml:space="preserve">自願離職率及非自願離職率(請各據點提供所屬據點的資料)</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請說明上述離職率的原因(請各據點提供所屬據點的資料)</w:t>
      </w:r>
    </w:p>
    <w:p>
      <w:pPr/>
      <w:r>
        <w:rPr/>
        <w:t xml:space="preserve"/>
      </w:r>
    </w:p>
    <w:p>
      <w:pPr>
        <w:spacing w:line="240" w:lineRule="auto"/>
      </w:pPr>
      <w:r>
        <w:rPr>
          <w:sz w:val="28"/>
          <w:szCs w:val="28"/>
          <w:b w:val="1"/>
          <w:bCs w:val="1"/>
          <w:u w:val="single"/>
        </w:rPr>
        <w:t xml:space="preserve">請請各據點說明該據點2025年員工之缺勤率
缺勤率(AR)(由人資提供)：缺勤率(AR)：(總缺勤天數/總工作天數) X 100%，小數點第3位無條件捨去。</w:t>
      </w:r>
    </w:p>
    <w:p>
      <w:pPr>
        <w:spacing w:line="240" w:lineRule="auto"/>
      </w:pPr>
      <w:r>
        <w:rPr>
          <w:sz w:val="22"/>
          <w:szCs w:val="22"/>
        </w:rPr>
        <w:t xml:space="preserve">缺勤天數：指員工因失去勞動能力而脫離崗位。包括：病假(一般病假、住院病假、生理假)、事假(事假、家庭照顧假)、工傷假、職業病假；不包括：批准的假期(如特休)、產假、陪產假、喪假等。</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接續上題，如有照片等資料，請提供</w:t>
      </w:r>
    </w:p>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若以獨立的基金來支付退休金負債，請填寫以下表單
a.估算預先提撥用以支付這些計畫負債所需的資產範圍
b.進行上述估算的依據
c.做出上述估算的時間點</w:t>
      </w:r>
    </w:p>
    <w:p>
      <w:pPr/>
      <w:r>
        <w:rPr/>
        <w:t xml:space="preserve"/>
      </w:r>
    </w:p>
    <w:p>
      <w:pPr>
        <w:spacing w:line="240" w:lineRule="auto"/>
      </w:pPr>
      <w:r>
        <w:rPr>
          <w:sz w:val="28"/>
          <w:szCs w:val="28"/>
          <w:b w:val="1"/>
          <w:bCs w:val="1"/>
          <w:u w:val="single"/>
        </w:rPr>
        <w:t xml:space="preserve">退休金規劃 (GRI201) 若所設立的基金未能足額提撥這些計畫之退休金負債，解釋雇主如何實現足額提撥的策略和 雇主預計達成足額提撥之時程規劃（如果有的話）。</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 退休金規劃 (GRI201) 請說明退休計畫的參與程度
如強制參與或自願性方案、地區或國家別計畫、或具有財務衝擊的計畫</w:t>
      </w:r>
    </w:p>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bl>
    <w:p>
      <w:pPr/>
      <w:r>
        <w:rPr/>
        <w:t xml:space="preserve"/>
      </w:r>
    </w:p>
    <w:p>
      <w:pPr>
        <w:spacing w:line="240" w:lineRule="auto"/>
      </w:pPr>
      <w:r>
        <w:rPr>
          <w:sz w:val="28"/>
          <w:szCs w:val="28"/>
          <w:b w:val="1"/>
          <w:bCs w:val="1"/>
          <w:u w:val="single"/>
        </w:rPr>
        <w:t xml:space="preserve">請填寫貴公司2025年員工訓練–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人力資本投資報酬率: 請問貴公司如何衡量人力資本投資報酬率? </w:t>
      </w:r>
    </w:p>
    <w:p>
      <w:pPr>
        <w:spacing w:line="240" w:lineRule="auto"/>
      </w:pPr>
      <w:r>
        <w:rPr>
          <w:sz w:val="22"/>
          <w:szCs w:val="22"/>
        </w:rPr>
        <w:t xml:space="preserve">人力資本投資報酬率：公司在員工身上花的錢（薪水、訓練、福利等）產生了多少營收或利潤
範例：
1.追蹤人均營收、人均產值、單位勞動成本等指標，以評估員工產出效率
2.公司尚未建立具體的人力資本投資報酬率數據，但透過追蹤員工留任率、訓練時數與人均產值等指標，持續評估人力資源投入效益。未來將逐步導入相關分析，以更精準衡量人力投資對營運績效的貢獻。</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2025-11-24T10:57:34+08:00</dcterms:created>
  <dcterms:modified xsi:type="dcterms:W3CDTF">2025-11-24T10:57:34+08:00</dcterms:modified>
</cp:coreProperties>
</file>

<file path=docProps/custom.xml><?xml version="1.0" encoding="utf-8"?>
<Properties xmlns="http://schemas.openxmlformats.org/officeDocument/2006/custom-properties" xmlns:vt="http://schemas.openxmlformats.org/officeDocument/2006/docPropsVTypes"/>
</file>