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!2025-Timotion-Environment-總問卷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	統一主詞：因報告書為對外揭露性質，請協助將內部代號轉為外部說法。TMT&gt;總部、TMF&gt;台中廠、TMC&gt;東莞堤摩訊或東莞廠
2.	備註英文專有名詞(如EPR材質、CRM)：因報告書為對外揭露性質，請協助註明中文名稱，以利讀者理解
3.	回答避免空白：若公司2025年沒有相關作為、統計數據，請一律回覆「無」、「不適用」或說明原因，以減少與您來回確認的時間
4.	數據尚未齊全或措施正在進行：若Q4數據仍在統計中，以致無法填上年度數據，或者Q4正在進行相關措施，請一律回覆「第二次資蒐提供」
5.	題目說明理解困難：若題目說明看不懂以致無法回答，請一律回覆「需再說明才能回答」，後續由顧問統整所有疑問後，在第二次資蒐階段回應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長期(2050)目標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(透過定期 / 不定期舉行xxx、電子郵件等)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請提供佐證資料，如：政策承諾(建議有有董事長簽名)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 ML。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ML，主要原因為_________。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各廠耗水量合計為_______ML，主要原因為_________。請說明近幾年數據浮動原因與管理方式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立方公尺。
排放管理指標：請說明貴公司廢水排放依據及檢測項目(請描述放流水水質最低標準，以及如何決定這些最低標準) (GRI 303-2)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【重大主題管理方針─能源管理&amp;溫室氣體排放管理】請說明公司營運活動會造成/或潛在可能造成的環境衝擊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長期(2050)目標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總用電量增長率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東莞廠廚房天然氣人均耗用量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年度減碳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總用電量增長率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東莞廠廚房天然氣人均耗用量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年度減碳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(透過定期 / 不定期舉行xxx、電子郵件等)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請提供佐證資料，如：政策承諾(建議有有董事長簽名)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單位能源耗用量(能源密集度: GJ/百萬元-營收)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歷年能源密集度資訊 (GRI 302-3)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產值 (百萬元)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總能耗量 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能源密集度 (GJ/百萬產值)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全集團歷年溫室氣體排放密集度</w:t>
      </w:r>
    </w:p>
    <w:p>
      <w:pPr>
        <w:spacing w:line="240" w:lineRule="auto"/>
      </w:pPr>
      <w:r>
        <w:rPr>
          <w:sz w:val="22"/>
          <w:szCs w:val="22"/>
        </w:rPr>
        <w:t xml:space="preserve">單位：公噸CO2e/百萬台幣-營收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說明-數據變化原因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說明-管理方式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長期(2050)目標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請描述氣候相關風險與機會財務衝擊評估結果和因應作法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2025-11-10T13:40:11+08:00</dcterms:created>
  <dcterms:modified xsi:type="dcterms:W3CDTF">2025-11-10T13:40:11+08:00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