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永光-Eleanor</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2022年營業額（百萬元）</w:t>
            </w:r>
          </w:p>
        </w:tc>
        <w:tc>
          <w:tcPr>
            <w:tcW w:w="1800" w:type="dxa"/>
            <w:noWrap/>
          </w:tcPr>
          <w:p>
            <w:pPr>
              <w:jc w:val="center"/>
              <w:spacing w:line="240" w:lineRule="auto"/>
            </w:pPr>
            <w:r>
              <w:rPr>
                <w:sz w:val="24"/>
                <w:szCs w:val="24"/>
                <w:b w:val="1"/>
                <w:bCs w:val="1"/>
              </w:rPr>
              <w:t xml:space="preserve">2022年營業額佔比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與2021年相比表現如何?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台灣</w:t>
            </w:r>
          </w:p>
        </w:tc>
        <w:tc>
          <w:tcPr>
            <w:tcW w:w="1800" w:type="dxa"/>
            <w:noWrap/>
          </w:tcPr>
          <w:p>
            <w:pPr>
              <w:jc w:val="center"/>
              <w:spacing w:line="240" w:lineRule="auto"/>
            </w:pPr>
            <w:r>
              <w:rPr>
                <w:sz w:val="24"/>
                <w:szCs w:val="24"/>
                <w:b w:val="1"/>
                <w:bCs w:val="1"/>
              </w:rPr>
              <w:t xml:space="preserve">亞洲</w:t>
            </w:r>
          </w:p>
        </w:tc>
        <w:tc>
          <w:tcPr>
            <w:tcW w:w="1800" w:type="dxa"/>
            <w:noWrap/>
          </w:tcPr>
          <w:p>
            <w:pPr>
              <w:jc w:val="center"/>
              <w:spacing w:line="240" w:lineRule="auto"/>
            </w:pPr>
            <w:r>
              <w:rPr>
                <w:sz w:val="24"/>
                <w:szCs w:val="24"/>
                <w:b w:val="1"/>
                <w:bCs w:val="1"/>
              </w:rPr>
              <w:t xml:space="preserve">歐洲</w:t>
            </w:r>
          </w:p>
        </w:tc>
        <w:tc>
          <w:tcPr>
            <w:tcW w:w="1800" w:type="dxa"/>
            <w:noWrap/>
          </w:tcPr>
          <w:p>
            <w:pPr>
              <w:jc w:val="center"/>
              <w:spacing w:line="240" w:lineRule="auto"/>
            </w:pPr>
            <w:r>
              <w:rPr>
                <w:sz w:val="24"/>
                <w:szCs w:val="24"/>
                <w:b w:val="1"/>
                <w:bCs w:val="1"/>
              </w:rPr>
              <w:t xml:space="preserve">美洲</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2022年永續產品所創造的營業額 (NT$)/或省下的能資源效益(量化說明)</w:t>
            </w:r>
          </w:p>
        </w:tc>
        <w:tc>
          <w:tcPr>
            <w:tcW w:w="1800" w:type="dxa"/>
            <w:noWrap/>
          </w:tcPr>
          <w:p>
            <w:pPr>
              <w:jc w:val="center"/>
              <w:spacing w:line="240" w:lineRule="auto"/>
            </w:pPr>
            <w:r>
              <w:rPr>
                <w:sz w:val="24"/>
                <w:szCs w:val="24"/>
                <w:b w:val="1"/>
                <w:bCs w:val="1"/>
              </w:rPr>
              <w:t xml:space="preserve">2022年全年營業額(NT$)</w:t>
            </w:r>
          </w:p>
        </w:tc>
        <w:tc>
          <w:tcPr>
            <w:tcW w:w="1800" w:type="dxa"/>
            <w:noWrap/>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相較2021年，2022年所創造的效益增加或減少? 為什麼? </w:t>
            </w:r>
          </w:p>
        </w:tc>
        <w:tc>
          <w:tcPr>
            <w:tcW w:w="1800" w:type="dxa"/>
            <w:noWrap/>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2022年研發經費(NT$)</w:t>
            </w:r>
          </w:p>
        </w:tc>
        <w:tc>
          <w:tcPr>
            <w:tcW w:w="1800" w:type="dxa"/>
            <w:noWrap/>
          </w:tcPr>
          <w:p>
            <w:pPr>
              <w:jc w:val="center"/>
              <w:spacing w:line="240" w:lineRule="auto"/>
            </w:pPr>
            <w:r>
              <w:rPr>
                <w:sz w:val="24"/>
                <w:szCs w:val="24"/>
                <w:b w:val="1"/>
                <w:bCs w:val="1"/>
              </w:rPr>
              <w:t xml:space="preserve">2022年研發具體成果展現—新產品開發項目數： </w:t>
            </w:r>
          </w:p>
        </w:tc>
        <w:tc>
          <w:tcPr>
            <w:tcW w:w="1800" w:type="dxa"/>
            <w:noWrap/>
          </w:tcPr>
          <w:p>
            <w:pPr>
              <w:jc w:val="center"/>
              <w:spacing w:line="240" w:lineRule="auto"/>
            </w:pPr>
            <w:r>
              <w:rPr>
                <w:sz w:val="24"/>
                <w:szCs w:val="24"/>
                <w:b w:val="1"/>
                <w:bCs w:val="1"/>
              </w:rPr>
              <w:t xml:space="preserve">2022年研發具體成果展現—專利數目：</w:t>
            </w:r>
          </w:p>
        </w:tc>
        <w:tc>
          <w:tcPr>
            <w:tcW w:w="1800" w:type="dxa"/>
            <w:noWrap/>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相較2021年，2022年研發經費增加或減少? 為什麼? </w:t>
            </w:r>
          </w:p>
        </w:tc>
        <w:tc>
          <w:tcPr>
            <w:tcW w:w="1800" w:type="dxa"/>
            <w:noWrap/>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投入資源說明</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管理方式</w:t>
            </w:r>
          </w:p>
        </w:tc>
        <w:tc>
          <w:tcPr>
            <w:tcW w:w="1800" w:type="dxa"/>
            <w:noWrap/>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2020年當地（台灣）原料商佔比</w:t>
            </w:r>
          </w:p>
        </w:tc>
        <w:tc>
          <w:tcPr>
            <w:tcW w:w="1800" w:type="dxa"/>
            <w:noWrap/>
          </w:tcPr>
          <w:p>
            <w:pPr>
              <w:jc w:val="center"/>
              <w:spacing w:line="240" w:lineRule="auto"/>
            </w:pPr>
            <w:r>
              <w:rPr>
                <w:sz w:val="24"/>
                <w:szCs w:val="24"/>
                <w:b w:val="1"/>
                <w:bCs w:val="1"/>
              </w:rPr>
              <w:t xml:space="preserve">2021年當地（台灣）原料商佔比</w:t>
            </w:r>
          </w:p>
        </w:tc>
        <w:tc>
          <w:tcPr>
            <w:tcW w:w="1800" w:type="dxa"/>
            <w:noWrap/>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w:t>
            </w:r>
          </w:p>
        </w:tc>
        <w:tc>
          <w:tcPr>
            <w:tcW w:w="1800" w:type="dxa"/>
            <w:noWrap/>
          </w:tcPr>
          <w:p>
            <w:pPr>
              <w:jc w:val="center"/>
              <w:spacing w:line="240" w:lineRule="auto"/>
            </w:pPr>
            <w:r>
              <w:rPr>
                <w:sz w:val="24"/>
                <w:szCs w:val="24"/>
                <w:b w:val="1"/>
                <w:bCs w:val="1"/>
              </w:rPr>
              <w:t xml:space="preserve">2021</w:t>
            </w:r>
          </w:p>
        </w:tc>
        <w:tc>
          <w:tcPr>
            <w:tcW w:w="1800" w:type="dxa"/>
            <w:noWrap/>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c>
          <w:tcPr>
            <w:tcW w:w="1800" w:type="dxa"/>
            <w:noWrap/>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(6)懸浮微粒(PM)</w:t>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2022年排放標準(g/s)</w:t>
            </w:r>
          </w:p>
        </w:tc>
        <w:tc>
          <w:tcPr>
            <w:tcW w:w="1800" w:type="dxa"/>
            <w:noWrap/>
          </w:tcPr>
          <w:p>
            <w:pPr>
              <w:jc w:val="center"/>
              <w:spacing w:line="240" w:lineRule="auto"/>
            </w:pPr>
            <w:r>
              <w:rPr>
                <w:sz w:val="24"/>
                <w:szCs w:val="24"/>
                <w:b w:val="1"/>
                <w:bCs w:val="1"/>
              </w:rPr>
              <w:t xml:space="preserve">2022年監測值(g/s)</w:t>
            </w:r>
          </w:p>
        </w:tc>
        <w:tc>
          <w:tcPr>
            <w:tcW w:w="1800" w:type="dxa"/>
            <w:noWrap/>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廠區一</w:t>
            </w:r>
          </w:p>
        </w:tc>
        <w:tc>
          <w:tcPr>
            <w:tcW w:w="1800" w:type="dxa"/>
            <w:noWrap/>
          </w:tcPr>
          <w:p>
            <w:pPr>
              <w:jc w:val="center"/>
              <w:spacing w:line="240" w:lineRule="auto"/>
            </w:pPr>
            <w:r>
              <w:rPr>
                <w:sz w:val="24"/>
                <w:szCs w:val="24"/>
                <w:b w:val="1"/>
                <w:bCs w:val="1"/>
              </w:rPr>
              <w:t xml:space="preserve">廠區二</w:t>
            </w:r>
          </w:p>
        </w:tc>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spacing w:line="240" w:lineRule="auto"/>
      </w:pPr>
      <w:r>
        <w:rPr/>
        <w:t xml:space="preserve">答案：「成為對人類有貢獻的高科技化學企業集團」的願景目標。永續發展ESG政策為「善盡世界公民責任，參與保護地球行列」</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spacing w:line="240" w:lineRule="auto"/>
      </w:pPr>
      <w:r>
        <w:rPr/>
        <w:t xml:space="preserve">答案：1.全球營運據點 2. 尊重基本人權、禁用童工、 不強迫勞動或歧視、維護員工健康與安全、排除不法歧視、性騷擾防治</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sz w:val="24"/>
                <w:szCs w:val="24"/>
                <w:b w:val="1"/>
                <w:bCs w:val="1"/>
              </w:rPr>
              <w:t xml:space="preserve">分公司1</w:t>
            </w:r>
          </w:p>
        </w:tc>
        <w:tc>
          <w:tcPr>
            <w:tcW w:w="1800" w:type="dxa"/>
            <w:noWrap/>
          </w:tcPr>
          <w:p>
            <w:pPr>
              <w:jc w:val="center"/>
              <w:spacing w:line="240" w:lineRule="auto"/>
            </w:pPr>
            <w:r>
              <w:rPr>
                <w:sz w:val="24"/>
                <w:szCs w:val="24"/>
                <w:b w:val="1"/>
                <w:bCs w:val="1"/>
              </w:rPr>
              <w:t xml:space="preserve">子公司1</w:t>
            </w:r>
          </w:p>
        </w:tc>
        <w:tc>
          <w:tcPr>
            <w:tcW w:w="1800" w:type="dxa"/>
            <w:noWrap/>
          </w:tcPr>
          <w:p>
            <w:pPr>
              <w:jc w:val="center"/>
              <w:spacing w:line="240" w:lineRule="auto"/>
            </w:pPr>
            <w:r>
              <w:rPr>
                <w:sz w:val="24"/>
                <w:szCs w:val="24"/>
                <w:b w:val="1"/>
                <w:bCs w:val="1"/>
              </w:rPr>
              <w:t xml:space="preserve">工廠</w:t>
            </w:r>
          </w:p>
        </w:tc>
      </w:tr>
      <w:tr>
        <w:trPr/>
        <w:tc>
          <w:tcPr>
            <w:tcW w:w="1800" w:type="dxa"/>
            <w:noWrap/>
          </w:tcPr>
          <w:p>
            <w:pPr>
              <w:jc w:val="center"/>
              <w:spacing w:line="240" w:lineRule="auto"/>
            </w:pPr>
            <w:r>
              <w:rPr>
                <w:sz w:val="24"/>
                <w:szCs w:val="24"/>
                <w:b w:val="1"/>
                <w:bCs w:val="1"/>
              </w:rPr>
              <w:t xml:space="preserve">受訓男性人數</w:t>
            </w:r>
          </w:p>
        </w:tc>
        <w:tc>
          <w:tcPr>
            <w:tcW w:w="1800" w:type="dxa"/>
            <w:noWrap/>
          </w:tcPr>
          <w:p>
            <w:pPr>
              <w:jc w:val="center"/>
              <w:spacing w:line="240" w:lineRule="auto"/>
            </w:pPr>
            <w:r>
              <w:rPr/>
              <w:t xml:space="preserve">1,353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981</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受訓女性人數</w:t>
            </w:r>
          </w:p>
        </w:tc>
        <w:tc>
          <w:tcPr>
            <w:tcW w:w="1800" w:type="dxa"/>
            <w:noWrap/>
          </w:tcPr>
          <w:p>
            <w:pPr>
              <w:jc w:val="center"/>
              <w:spacing w:line="240" w:lineRule="auto"/>
            </w:pPr>
            <w:r>
              <w:rPr/>
              <w:t xml:space="preserve">479</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335</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受訓總人數</w:t>
            </w:r>
          </w:p>
        </w:tc>
        <w:tc>
          <w:tcPr>
            <w:tcW w:w="1800" w:type="dxa"/>
            <w:noWrap/>
          </w:tcPr>
          <w:p>
            <w:pPr>
              <w:jc w:val="center"/>
              <w:spacing w:line="240" w:lineRule="auto"/>
            </w:pPr>
            <w:r>
              <w:rPr/>
              <w:t xml:space="preserve">1,832    </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1,316</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受訓男性總時數</w:t>
            </w:r>
          </w:p>
        </w:tc>
        <w:tc>
          <w:tcPr>
            <w:tcW w:w="1800" w:type="dxa"/>
            <w:noWrap/>
          </w:tcPr>
          <w:p>
            <w:pPr>
              <w:jc w:val="center"/>
              <w:spacing w:line="240" w:lineRule="auto"/>
            </w:pPr>
            <w:r>
              <w:rPr/>
              <w:t xml:space="preserve">94,449</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83,941</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受訓女性總時數</w:t>
            </w:r>
          </w:p>
        </w:tc>
        <w:tc>
          <w:tcPr>
            <w:tcW w:w="1800" w:type="dxa"/>
            <w:noWrap/>
          </w:tcPr>
          <w:p>
            <w:pPr>
              <w:jc w:val="center"/>
              <w:spacing w:line="240" w:lineRule="auto"/>
            </w:pPr>
            <w:r>
              <w:rPr/>
              <w:t xml:space="preserve">30,869</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26,984</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受訓總時數</w:t>
            </w:r>
          </w:p>
        </w:tc>
        <w:tc>
          <w:tcPr>
            <w:tcW w:w="1800" w:type="dxa"/>
            <w:noWrap/>
          </w:tcPr>
          <w:p>
            <w:pPr>
              <w:jc w:val="center"/>
              <w:spacing w:line="240" w:lineRule="auto"/>
            </w:pPr>
            <w:r>
              <w:rPr/>
              <w:t xml:space="preserve">125,318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110,925</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spacing w:line="240" w:lineRule="auto"/>
      </w:pPr>
      <w:r>
        <w:rPr/>
        <w:t xml:space="preserve">答案：2.專線、稽核室檢舉信箱、審計委員會信箱 3. 受理、呈報、立案及通報&gt;調查與回覆&gt;懲處及究責&gt;檔案維護及管理&gt; 結案、報告及內控改善</w:t>
      </w:r>
    </w:p>
    <w:p>
      <w:pPr/>
      <w:r>
        <w:rPr/>
        <w:t xml:space="preserve"/>
      </w:r>
    </w:p>
    <w:p>
      <w:pPr>
        <w:spacing w:line="240" w:lineRule="auto"/>
      </w:pPr>
      <w:r>
        <w:rPr>
          <w:sz w:val="28"/>
          <w:szCs w:val="28"/>
          <w:b w:val="1"/>
          <w:bCs w:val="1"/>
          <w:u w:val="single"/>
        </w:rPr>
        <w:t xml:space="preserve">請問當年度是否接獲任何申訴/檢舉案件?</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t xml:space="preserve">永光集團(包含子公司)
106台北市大安區敦化南路二段77號5~6樓
</w:t>
            </w:r>
          </w:p>
        </w:tc>
        <w:tc>
          <w:tcPr>
            <w:tcW w:w="1800" w:type="dxa"/>
            <w:noWrap/>
          </w:tcPr>
          <w:p>
            <w:pPr>
              <w:jc w:val="center"/>
              <w:spacing w:line="240" w:lineRule="auto"/>
            </w:pPr>
            <w:r>
              <w:rPr/>
              <w:t xml:space="preserve">1353</w:t>
            </w:r>
          </w:p>
        </w:tc>
        <w:tc>
          <w:tcPr>
            <w:tcW w:w="1800" w:type="dxa"/>
            <w:noWrap/>
          </w:tcPr>
          <w:p>
            <w:pPr>
              <w:jc w:val="center"/>
              <w:spacing w:line="240" w:lineRule="auto"/>
            </w:pPr>
            <w:r>
              <w:rPr/>
              <w:t xml:space="preserve">479</w:t>
            </w:r>
          </w:p>
        </w:tc>
        <w:tc>
          <w:tcPr>
            <w:tcW w:w="1800" w:type="dxa"/>
            <w:noWrap/>
          </w:tcPr>
          <w:p>
            <w:pPr>
              <w:jc w:val="center"/>
              <w:spacing w:line="240" w:lineRule="auto"/>
            </w:pPr>
            <w:r>
              <w:rPr/>
              <w:t xml:space="preserve">1832</w:t>
            </w:r>
          </w:p>
        </w:tc>
      </w:tr>
      <w:tr>
        <w:trPr/>
        <w:tc>
          <w:tcPr>
            <w:tcW w:w="1800" w:type="dxa"/>
            <w:noWrap/>
          </w:tcPr>
          <w:p>
            <w:pPr>
              <w:jc w:val="center"/>
              <w:spacing w:line="240" w:lineRule="auto"/>
            </w:pPr>
            <w:r>
              <w:rPr>
                <w:sz w:val="24"/>
                <w:szCs w:val="24"/>
                <w:b w:val="1"/>
                <w:bCs w:val="1"/>
              </w:rPr>
              <w:t xml:space="preserve">分公司１</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子公司１</w:t>
            </w:r>
          </w:p>
        </w:tc>
        <w:tc>
          <w:tcPr>
            <w:tcW w:w="1800" w:type="dxa"/>
            <w:noWrap/>
          </w:tcPr>
          <w:p>
            <w:pPr>
              <w:jc w:val="center"/>
              <w:spacing w:line="240" w:lineRule="auto"/>
            </w:pPr>
            <w:r>
              <w:rPr/>
              <w:t xml:space="preserve">永光化學台北總部及 一 ~ 四廠區
第一廠  |  桃園
337桃園市大園區中山北路271號
第二廠/電子化學品廠/原料藥廠  |  桃園
328桃園市觀音區工業三路12號
第三廠  |  桃園
328桃園市觀音區成功路二段937號
第四廠  |  桃園
328桃園市觀音區大潭北路399號</w:t>
            </w:r>
          </w:p>
        </w:tc>
        <w:tc>
          <w:tcPr>
            <w:tcW w:w="1800" w:type="dxa"/>
            <w:noWrap/>
          </w:tcPr>
          <w:p>
            <w:pPr>
              <w:jc w:val="center"/>
              <w:spacing w:line="240" w:lineRule="auto"/>
            </w:pPr>
            <w:r>
              <w:rPr/>
              <w:t xml:space="preserve">981</w:t>
            </w:r>
          </w:p>
        </w:tc>
        <w:tc>
          <w:tcPr>
            <w:tcW w:w="1800" w:type="dxa"/>
            <w:noWrap/>
          </w:tcPr>
          <w:p>
            <w:pPr>
              <w:jc w:val="center"/>
              <w:spacing w:line="240" w:lineRule="auto"/>
            </w:pPr>
            <w:r>
              <w:rPr/>
              <w:t xml:space="preserve">335</w:t>
            </w:r>
          </w:p>
        </w:tc>
        <w:tc>
          <w:tcPr>
            <w:tcW w:w="1800" w:type="dxa"/>
            <w:noWrap/>
          </w:tcPr>
          <w:p>
            <w:pPr>
              <w:jc w:val="center"/>
              <w:spacing w:line="240" w:lineRule="auto"/>
            </w:pPr>
            <w:r>
              <w:rPr/>
              <w:t xml:space="preserve">1316</w:t>
            </w:r>
          </w:p>
        </w:tc>
      </w:t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r>
        <w:trPr/>
        <w:tc>
          <w:tcPr>
            <w:tcW w:w="1800" w:type="dxa"/>
            <w:noWrap/>
          </w:tcPr>
          <w:p>
            <w:pPr>
              <w:jc w:val="center"/>
              <w:spacing w:line="240" w:lineRule="auto"/>
            </w:pPr>
            <w:r>
              <w:rPr>
                <w:sz w:val="24"/>
                <w:szCs w:val="24"/>
                <w:b w:val="1"/>
                <w:bCs w:val="1"/>
              </w:rPr>
              <w:t xml:space="preserve">主管以上人數</w:t>
            </w:r>
          </w:p>
        </w:tc>
        <w:tc>
          <w:tcPr>
            <w:tcW w:w="1800" w:type="dxa"/>
            <w:noWrap/>
          </w:tcPr>
          <w:p>
            <w:pPr>
              <w:jc w:val="center"/>
              <w:spacing w:line="240" w:lineRule="auto"/>
            </w:pPr>
            <w:r>
              <w:rPr/>
              <w:t xml:space="preserve">476</w:t>
            </w:r>
          </w:p>
        </w:tc>
        <w:tc>
          <w:tcPr>
            <w:tcW w:w="1800" w:type="dxa"/>
            <w:noWrap/>
          </w:tcPr>
          <w:p>
            <w:pPr>
              <w:jc w:val="center"/>
              <w:spacing w:line="240" w:lineRule="auto"/>
            </w:pPr>
            <w:r>
              <w:rPr/>
              <w:t xml:space="preserve">90</w:t>
            </w:r>
          </w:p>
        </w:tc>
        <w:tc>
          <w:tcPr>
            <w:tcW w:w="1800" w:type="dxa"/>
            <w:noWrap/>
          </w:tcPr>
          <w:p>
            <w:pPr>
              <w:jc w:val="center"/>
              <w:spacing w:line="240" w:lineRule="auto"/>
            </w:pPr>
            <w:r>
              <w:rPr/>
              <w:t xml:space="preserve">566</w:t>
            </w:r>
          </w:p>
        </w:tc>
      </w:tr>
      <w:tr>
        <w:trPr/>
        <w:tc>
          <w:tcPr>
            <w:tcW w:w="1800" w:type="dxa"/>
            <w:noWrap/>
          </w:tcPr>
          <w:p>
            <w:pPr>
              <w:jc w:val="center"/>
              <w:spacing w:line="240" w:lineRule="auto"/>
            </w:pPr>
            <w:r>
              <w:rPr>
                <w:sz w:val="24"/>
                <w:szCs w:val="24"/>
                <w:b w:val="1"/>
                <w:bCs w:val="1"/>
              </w:rPr>
              <w:t xml:space="preserve">非主管人數</w:t>
            </w:r>
          </w:p>
        </w:tc>
        <w:tc>
          <w:tcPr>
            <w:tcW w:w="1800" w:type="dxa"/>
            <w:noWrap/>
          </w:tcPr>
          <w:p>
            <w:pPr>
              <w:jc w:val="center"/>
              <w:spacing w:line="240" w:lineRule="auto"/>
            </w:pPr>
            <w:r>
              <w:rPr/>
              <w:t xml:space="preserve">904</w:t>
            </w:r>
          </w:p>
        </w:tc>
        <w:tc>
          <w:tcPr>
            <w:tcW w:w="1800" w:type="dxa"/>
            <w:noWrap/>
          </w:tcPr>
          <w:p>
            <w:pPr>
              <w:jc w:val="center"/>
              <w:spacing w:line="240" w:lineRule="auto"/>
            </w:pPr>
            <w:r>
              <w:rPr/>
              <w:t xml:space="preserve">350</w:t>
            </w:r>
          </w:p>
        </w:tc>
        <w:tc>
          <w:tcPr>
            <w:tcW w:w="1800" w:type="dxa"/>
            <w:noWrap/>
          </w:tcPr>
          <w:p>
            <w:pPr>
              <w:jc w:val="center"/>
              <w:spacing w:line="240" w:lineRule="auto"/>
            </w:pPr>
            <w:r>
              <w:rPr/>
              <w:t xml:space="preserve">1254</w:t>
            </w:r>
          </w:p>
        </w:tc>
      </w:tr>
      <w:tr>
        <w:trPr/>
        <w:tc>
          <w:tcPr>
            <w:tcW w:w="1800" w:type="dxa"/>
            <w:noWrap/>
          </w:tcPr>
          <w:p>
            <w:pPr>
              <w:jc w:val="center"/>
              <w:spacing w:line="240" w:lineRule="auto"/>
            </w:pPr>
            <w:r>
              <w:rPr>
                <w:sz w:val="24"/>
                <w:szCs w:val="24"/>
                <w:b w:val="1"/>
                <w:bCs w:val="1"/>
              </w:rPr>
              <w:t xml:space="preserve">總計</w:t>
            </w:r>
          </w:p>
        </w:tc>
        <w:tc>
          <w:tcPr>
            <w:tcW w:w="1800" w:type="dxa"/>
            <w:noWrap/>
          </w:tcPr>
          <w:p>
            <w:pPr>
              <w:jc w:val="center"/>
              <w:spacing w:line="240" w:lineRule="auto"/>
            </w:pPr>
            <w:r>
              <w:rPr/>
              <w:t xml:space="preserve">1380</w:t>
            </w:r>
          </w:p>
        </w:tc>
        <w:tc>
          <w:tcPr>
            <w:tcW w:w="1800" w:type="dxa"/>
            <w:noWrap/>
          </w:tcPr>
          <w:p>
            <w:pPr>
              <w:jc w:val="center"/>
              <w:spacing w:line="240" w:lineRule="auto"/>
            </w:pPr>
            <w:r>
              <w:rPr/>
              <w:t xml:space="preserve">440</w:t>
            </w:r>
          </w:p>
        </w:tc>
        <w:tc>
          <w:tcPr>
            <w:tcW w:w="1800" w:type="dxa"/>
            <w:noWrap/>
          </w:tcPr>
          <w:p>
            <w:pPr>
              <w:jc w:val="center"/>
              <w:spacing w:line="240" w:lineRule="auto"/>
            </w:pPr>
            <w:r>
              <w:rPr/>
              <w:t xml:space="preserve">1820</w:t>
            </w:r>
          </w:p>
        </w:tc>
      </w:tr>
      <w:tr>
        <w:trPr/>
        <w:tc>
          <w:tcPr>
            <w:tcW w:w="1800" w:type="dxa"/>
            <w:noWrap/>
          </w:tcPr>
          <w:p>
            <w:pPr>
              <w:jc w:val="center"/>
              <w:spacing w:line="240" w:lineRule="auto"/>
            </w:pPr>
            <w:r>
              <w:rPr>
                <w:sz w:val="24"/>
                <w:szCs w:val="24"/>
                <w:b w:val="1"/>
                <w:bCs w:val="1"/>
              </w:rPr>
              <w:t xml:space="preserve">30歲以下人數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338</w:t>
            </w:r>
          </w:p>
        </w:tc>
      </w:tr>
      <w:tr>
        <w:trPr/>
        <w:tc>
          <w:tcPr>
            <w:tcW w:w="1800" w:type="dxa"/>
            <w:noWrap/>
          </w:tcPr>
          <w:p>
            <w:pPr>
              <w:jc w:val="center"/>
              <w:spacing w:line="240" w:lineRule="auto"/>
            </w:pPr>
            <w:r>
              <w:rPr>
                <w:sz w:val="24"/>
                <w:szCs w:val="24"/>
                <w:b w:val="1"/>
                <w:bCs w:val="1"/>
              </w:rPr>
              <w:t xml:space="preserve">30-50歲人數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1354</w:t>
            </w:r>
          </w:p>
        </w:tc>
      </w:tr>
      <w:tr>
        <w:trPr/>
        <w:tc>
          <w:tcPr>
            <w:tcW w:w="1800" w:type="dxa"/>
            <w:noWrap/>
          </w:tcPr>
          <w:p>
            <w:pPr>
              <w:jc w:val="center"/>
              <w:spacing w:line="240" w:lineRule="auto"/>
            </w:pPr>
            <w:r>
              <w:rPr>
                <w:sz w:val="24"/>
                <w:szCs w:val="24"/>
                <w:b w:val="1"/>
                <w:bCs w:val="1"/>
              </w:rPr>
              <w:t xml:space="preserve">50歲以下人數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總計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非定期契約人數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1540</w:t>
            </w:r>
          </w:p>
        </w:tc>
      </w:tr>
      <w:tr>
        <w:trPr/>
        <w:tc>
          <w:tcPr>
            <w:tcW w:w="1800" w:type="dxa"/>
            <w:noWrap/>
          </w:tcPr>
          <w:p>
            <w:pPr>
              <w:jc w:val="center"/>
              <w:spacing w:line="240" w:lineRule="auto"/>
            </w:pPr>
            <w:r>
              <w:rPr>
                <w:sz w:val="24"/>
                <w:szCs w:val="24"/>
                <w:b w:val="1"/>
                <w:bCs w:val="1"/>
              </w:rPr>
              <w:t xml:space="preserve">定期氣契約人數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280</w:t>
            </w:r>
          </w:p>
        </w:tc>
      </w:tr>
      <w:tr>
        <w:trPr/>
        <w:tc>
          <w:tcPr>
            <w:tcW w:w="1800" w:type="dxa"/>
            <w:noWrap/>
          </w:tcPr>
          <w:p>
            <w:pPr>
              <w:jc w:val="center"/>
              <w:spacing w:line="240" w:lineRule="auto"/>
            </w:pPr>
            <w:r>
              <w:rPr>
                <w:sz w:val="24"/>
                <w:szCs w:val="24"/>
                <w:b w:val="1"/>
                <w:bCs w:val="1"/>
              </w:rPr>
              <w:t xml:space="preserve">總計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請問貴公司是否總公司有外包人員? (非工作者)</w:t>
      </w:r>
    </w:p>
    <w:p>
      <w:pPr>
        <w:spacing w:line="240" w:lineRule="auto"/>
      </w:pPr>
      <w:r>
        <w:rPr/>
        <w:t xml:space="preserve">答案：否</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承攬商</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保全人員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其他</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請問總公司是否有身心障礙工作者?</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身心障礙者</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請問總公司是否有原住民工作者?</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原住民</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7</w:t>
            </w:r>
          </w:p>
        </w:tc>
      </w:tr>
    </w:tbl>
    <w:p>
      <w:pPr/>
      <w:r>
        <w:rPr/>
        <w:t xml:space="preserve"/>
      </w:r>
    </w:p>
    <w:p>
      <w:pPr>
        <w:spacing w:line="240" w:lineRule="auto"/>
      </w:pPr>
      <w:r>
        <w:rPr>
          <w:sz w:val="28"/>
          <w:szCs w:val="28"/>
          <w:b w:val="1"/>
          <w:bCs w:val="1"/>
          <w:u w:val="single"/>
        </w:rPr>
        <w:t xml:space="preserve">請問總公司是否有外籍工作者? </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129</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203</w:t>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112</w:t>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spacing w:line="240" w:lineRule="auto"/>
      </w:pPr>
      <w:r>
        <w:rPr/>
        <w:t xml:space="preserve">答案：1.
2.本公司章程第27條訂定公司年度如有獲利，應提撥5%為員工酬勞。經理人薪資及獎金，依本公司敘薪標準，考量其職務、貢獻、績效表現及承擔責任，交由薪酬委員會定期個別審議並送交董事會決議通過。其中績效表現考量⾯向包含專業能力、人際能力、理念能力、領導能力等評估指標，並納入年終獎金與員工酬勞發放依據。</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非擔任主管職務之全時員工人數(人)</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1174</w:t>
            </w:r>
          </w:p>
        </w:tc>
      </w:tr>
      <w:tr>
        <w:trPr/>
        <w:tc>
          <w:tcPr>
            <w:tcW w:w="1800" w:type="dxa"/>
            <w:noWrap/>
          </w:tcPr>
          <w:p>
            <w:pPr>
              <w:jc w:val="center"/>
              <w:spacing w:line="240" w:lineRule="auto"/>
            </w:pPr>
            <w:r>
              <w:rPr>
                <w:sz w:val="24"/>
                <w:szCs w:val="24"/>
                <w:b w:val="1"/>
                <w:bCs w:val="1"/>
              </w:rPr>
              <w:t xml:space="preserve">非擔任主管職務之全時員工薪資平均數 (千元/人)</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786</w:t>
            </w:r>
          </w:p>
        </w:tc>
      </w:tr>
      <w:tr>
        <w:trPr/>
        <w:tc>
          <w:tcPr>
            <w:tcW w:w="1800" w:type="dxa"/>
            <w:noWrap/>
          </w:tcPr>
          <w:p>
            <w:pPr>
              <w:jc w:val="center"/>
              <w:spacing w:line="240" w:lineRule="auto"/>
            </w:pPr>
            <w:r>
              <w:rPr>
                <w:sz w:val="24"/>
                <w:szCs w:val="24"/>
                <w:b w:val="1"/>
                <w:bCs w:val="1"/>
              </w:rPr>
              <w:t xml:space="preserve">非擔任主管職之全時員工薪資中位數 (千元/人)</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743</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r>
        <w:trPr/>
        <w:tc>
          <w:tcPr>
            <w:tcW w:w="1800" w:type="dxa"/>
            <w:noWrap/>
          </w:tcPr>
          <w:p>
            <w:pPr>
              <w:jc w:val="center"/>
              <w:spacing w:line="240" w:lineRule="auto"/>
            </w:pPr>
            <w:r>
              <w:rPr>
                <w:sz w:val="24"/>
                <w:szCs w:val="24"/>
                <w:b w:val="1"/>
                <w:bCs w:val="1"/>
              </w:rPr>
              <w:t xml:space="preserve">A. 當地基本薪資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B. 員工薪資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C. 非擔任主管職務之全時員工薪資平均數(千元)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D. 非擔任主管職務之全時員工薪資中位數(千元)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E. 非擔任主管職務之全時員工薪資平均數(千元)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F.非擔任主管職務之全時員工薪資中位數(千元)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30歲以下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30-50歲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50歲以下</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請問說明貴公司勞資溝通政策與管道?</w:t>
      </w:r>
    </w:p>
    <w:p>
      <w:pPr>
        <w:spacing w:line="240" w:lineRule="auto"/>
      </w:pPr>
      <w:r>
        <w:rPr/>
        <w:t xml:space="preserve">答案：雖無訂定團體協約，本公司已頒布工作規則及每年依法召開次勞資會議、並於年底舉辦工會幹部餐敘座談會。透過報告及提案討論(註：年決議提高團膳費用補助)</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發出問卷總數</w:t>
            </w:r>
          </w:p>
        </w:tc>
        <w:tc>
          <w:tcPr>
            <w:tcW w:w="1800" w:type="dxa"/>
            <w:noWrap/>
          </w:tcPr>
          <w:p>
            <w:pPr>
              <w:jc w:val="center"/>
              <w:spacing w:line="240" w:lineRule="auto"/>
            </w:pPr>
            <w:r>
              <w:rPr>
                <w:sz w:val="24"/>
                <w:szCs w:val="24"/>
                <w:b w:val="1"/>
                <w:bCs w:val="1"/>
              </w:rPr>
              <w:t xml:space="preserve">回收有效總數</w:t>
            </w:r>
          </w:p>
        </w:tc>
      </w:tr>
      <w:tr>
        <w:trPr/>
        <w:tc>
          <w:tcPr>
            <w:tcW w:w="1800" w:type="dxa"/>
            <w:noWrap/>
          </w:tcPr>
          <w:p>
            <w:pPr>
              <w:jc w:val="center"/>
              <w:spacing w:line="240" w:lineRule="auto"/>
            </w:pPr>
            <w:r>
              <w:rPr>
                <w:sz w:val="24"/>
                <w:szCs w:val="24"/>
                <w:b w:val="1"/>
                <w:bCs w:val="1"/>
              </w:rPr>
              <w:t xml:space="preserve">第一題</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育嬰假</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員工可以自由提出申請育嬰假，年統計
顯示：女性及男性員工留任率維持。</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員工持股</w:t>
            </w:r>
          </w:p>
        </w:tc>
        <w:tc>
          <w:tcPr>
            <w:tcW w:w="1800" w:type="dxa"/>
            <w:noWrap/>
          </w:tcPr>
          <w:p>
            <w:pPr>
              <w:jc w:val="center"/>
              <w:spacing w:line="240" w:lineRule="auto"/>
            </w:pPr>
            <w:r>
              <w:rPr>
                <w:sz w:val="24"/>
                <w:szCs w:val="24"/>
                <w:b w:val="1"/>
                <w:bCs w:val="1"/>
              </w:rPr>
              <w:t xml:space="preserve">其他，請列點說明</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對於女性員工的照顧，置哺(集)乳室並提供懷孕期間友善車位。</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提供「母性健康保護」產前/產後之相關措施，讓女性員工在「母性健康保護」方面覺得方便與受到重視。</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自年起新設生育獎勵金新台幣元，</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司提供員工簽約合作社區幼兒園，提供員工托育服務並享入學優惠。</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對於已故員工家庭，提供子女生活補助金與
家庭春節慰問金，並致電關心生活狀況。</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員工年度旅遊</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18個社團</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提供7位原住民員工「祭儀假」</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外籍員工
估仲介公司及提供相關措施:提供休閒運動場地、安排諮商人員到廠關懷、舉辦年終感恩禮拜及聚餐、舉辦各類競賽與休閒活動、訂閱衛星頻道、週末準備家鄉口味餐點
補助外籍移工同仁就業費</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在廠區推廣低碳健康廚房(從飲食上照顧員工)（獲桃園市低碳健康廚房標章認證）。</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針對罹患重大傷病的員工執行專案關懷與生活上之必要協助。</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員工協助方案(EAP)_x000C__x000B_</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依勞動基準法或勞工退休金條例參與退休計畫。本公司另設有「申請提早退休」之「
專案(年資＋年齡)」供有需要的員工提出申請。 針對退休員工依其專業給予轉聘顧問。</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當年度符合申請資格人數</w:t>
            </w:r>
          </w:p>
        </w:tc>
        <w:tc>
          <w:tcPr>
            <w:tcW w:w="1800" w:type="dxa"/>
            <w:noWrap/>
          </w:tcPr>
          <w:p>
            <w:pPr>
              <w:jc w:val="center"/>
              <w:spacing w:line="240" w:lineRule="auto"/>
            </w:pPr>
            <w:r>
              <w:rPr/>
              <w:t xml:space="preserve">57</w:t>
            </w:r>
          </w:p>
        </w:tc>
        <w:tc>
          <w:tcPr>
            <w:tcW w:w="1800" w:type="dxa"/>
            <w:noWrap/>
          </w:tcPr>
          <w:p>
            <w:pPr>
              <w:jc w:val="center"/>
              <w:spacing w:line="240" w:lineRule="auto"/>
            </w:pPr>
            <w:r>
              <w:rPr/>
              <w:t xml:space="preserve">32</w:t>
            </w:r>
          </w:p>
        </w:tc>
        <w:tc>
          <w:tcPr>
            <w:tcW w:w="1800" w:type="dxa"/>
            <w:noWrap/>
          </w:tcPr>
          <w:p>
            <w:pPr>
              <w:jc w:val="center"/>
              <w:spacing w:line="240" w:lineRule="auto"/>
            </w:pPr>
            <w:r>
              <w:rPr/>
              <w:t xml:space="preserve">89</w:t>
            </w:r>
          </w:p>
        </w:tc>
      </w:tr>
      <w:tr>
        <w:trPr/>
        <w:tc>
          <w:tcPr>
            <w:tcW w:w="1800" w:type="dxa"/>
            <w:noWrap/>
          </w:tcPr>
          <w:p>
            <w:pPr>
              <w:jc w:val="center"/>
              <w:spacing w:line="240" w:lineRule="auto"/>
            </w:pPr>
            <w:r>
              <w:rPr>
                <w:sz w:val="24"/>
                <w:szCs w:val="24"/>
                <w:b w:val="1"/>
                <w:bCs w:val="1"/>
              </w:rPr>
              <w:t xml:space="preserve">當年度實際申請人數</w:t>
            </w:r>
          </w:p>
        </w:tc>
        <w:tc>
          <w:tcPr>
            <w:tcW w:w="1800" w:type="dxa"/>
            <w:noWrap/>
          </w:tcPr>
          <w:p>
            <w:pPr>
              <w:jc w:val="center"/>
              <w:spacing w:line="240" w:lineRule="auto"/>
            </w:pPr>
            <w:r>
              <w:rPr/>
              <w:t xml:space="preserve">8</w:t>
            </w:r>
          </w:p>
        </w:tc>
        <w:tc>
          <w:tcPr>
            <w:tcW w:w="1800" w:type="dxa"/>
            <w:noWrap/>
          </w:tcPr>
          <w:p>
            <w:pPr>
              <w:jc w:val="center"/>
              <w:spacing w:line="240" w:lineRule="auto"/>
            </w:pPr>
            <w:r>
              <w:rPr/>
              <w:t xml:space="preserve">5</w:t>
            </w:r>
          </w:p>
        </w:tc>
        <w:tc>
          <w:tcPr>
            <w:tcW w:w="1800" w:type="dxa"/>
            <w:noWrap/>
          </w:tcPr>
          <w:p>
            <w:pPr>
              <w:jc w:val="center"/>
              <w:spacing w:line="240" w:lineRule="auto"/>
            </w:pPr>
            <w:r>
              <w:rPr/>
              <w:t xml:space="preserve">13</w:t>
            </w:r>
          </w:p>
        </w:tc>
      </w:tr>
      <w:tr>
        <w:trPr/>
        <w:tc>
          <w:tcPr>
            <w:tcW w:w="1800" w:type="dxa"/>
            <w:noWrap/>
          </w:tcPr>
          <w:p>
            <w:pPr>
              <w:jc w:val="center"/>
              <w:spacing w:line="240" w:lineRule="auto"/>
            </w:pPr>
            <w:r>
              <w:rPr>
                <w:sz w:val="24"/>
                <w:szCs w:val="24"/>
                <w:b w:val="1"/>
                <w:bCs w:val="1"/>
              </w:rPr>
              <w:t xml:space="preserve">當年應復職人數(A)</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15</w:t>
            </w:r>
          </w:p>
        </w:tc>
        <w:tc>
          <w:tcPr>
            <w:tcW w:w="1800" w:type="dxa"/>
            <w:noWrap/>
          </w:tcPr>
          <w:p>
            <w:pPr>
              <w:jc w:val="center"/>
              <w:spacing w:line="240" w:lineRule="auto"/>
            </w:pPr>
            <w:r>
              <w:rPr/>
              <w:t xml:space="preserve">17</w:t>
            </w:r>
          </w:p>
        </w:tc>
      </w:tr>
      <w:tr>
        <w:trPr/>
        <w:tc>
          <w:tcPr>
            <w:tcW w:w="1800" w:type="dxa"/>
            <w:noWrap/>
          </w:tcPr>
          <w:p>
            <w:pPr>
              <w:jc w:val="center"/>
              <w:spacing w:line="240" w:lineRule="auto"/>
            </w:pPr>
            <w:r>
              <w:rPr>
                <w:sz w:val="24"/>
                <w:szCs w:val="24"/>
                <w:b w:val="1"/>
                <w:bCs w:val="1"/>
              </w:rPr>
              <w:t xml:space="preserve">當年復職人數(B)</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10</w:t>
            </w:r>
          </w:p>
        </w:tc>
        <w:tc>
          <w:tcPr>
            <w:tcW w:w="1800" w:type="dxa"/>
            <w:noWrap/>
          </w:tcPr>
          <w:p>
            <w:pPr>
              <w:jc w:val="center"/>
              <w:spacing w:line="240" w:lineRule="auto"/>
            </w:pPr>
            <w:r>
              <w:rPr/>
              <w:t xml:space="preserve">12</w:t>
            </w:r>
          </w:p>
        </w:tc>
      </w:tr>
      <w:tr>
        <w:trPr/>
        <w:tc>
          <w:tcPr>
            <w:tcW w:w="1800" w:type="dxa"/>
            <w:noWrap/>
          </w:tcPr>
          <w:p>
            <w:pPr>
              <w:jc w:val="center"/>
              <w:spacing w:line="240" w:lineRule="auto"/>
            </w:pPr>
            <w:r>
              <w:rPr>
                <w:sz w:val="24"/>
                <w:szCs w:val="24"/>
                <w:b w:val="1"/>
                <w:bCs w:val="1"/>
              </w:rPr>
              <w:t xml:space="preserve">當年復職率(B/A)(%)</w:t>
            </w:r>
          </w:p>
        </w:tc>
        <w:tc>
          <w:tcPr>
            <w:tcW w:w="1800" w:type="dxa"/>
            <w:noWrap/>
          </w:tcPr>
          <w:p>
            <w:pPr>
              <w:jc w:val="center"/>
              <w:spacing w:line="240" w:lineRule="auto"/>
            </w:pPr>
            <w:r>
              <w:rPr/>
              <w:t xml:space="preserve">100%</w:t>
            </w:r>
          </w:p>
        </w:tc>
        <w:tc>
          <w:tcPr>
            <w:tcW w:w="1800" w:type="dxa"/>
            <w:noWrap/>
          </w:tcPr>
          <w:p>
            <w:pPr>
              <w:jc w:val="center"/>
              <w:spacing w:line="240" w:lineRule="auto"/>
            </w:pPr>
            <w:r>
              <w:rPr/>
              <w:t xml:space="preserve">67%</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前年應復職人數(C)</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7</w:t>
            </w:r>
          </w:p>
        </w:tc>
        <w:tc>
          <w:tcPr>
            <w:tcW w:w="1800" w:type="dxa"/>
            <w:noWrap/>
          </w:tcPr>
          <w:p>
            <w:pPr>
              <w:jc w:val="center"/>
              <w:spacing w:line="240" w:lineRule="auto"/>
            </w:pPr>
            <w:r>
              <w:rPr/>
              <w:t xml:space="preserve">9</w:t>
            </w:r>
          </w:p>
        </w:tc>
      </w:tr>
      <w:tr>
        <w:trPr/>
        <w:tc>
          <w:tcPr>
            <w:tcW w:w="1800" w:type="dxa"/>
            <w:noWrap/>
          </w:tcPr>
          <w:p>
            <w:pPr>
              <w:jc w:val="center"/>
              <w:spacing w:line="240" w:lineRule="auto"/>
            </w:pPr>
            <w:r>
              <w:rPr>
                <w:sz w:val="24"/>
                <w:szCs w:val="24"/>
                <w:b w:val="1"/>
                <w:bCs w:val="1"/>
              </w:rPr>
              <w:t xml:space="preserve">前年復職後12個月仍在職人數(D)</w:t>
            </w:r>
          </w:p>
        </w:tc>
        <w:tc>
          <w:tcPr>
            <w:tcW w:w="1800" w:type="dxa"/>
            <w:noWrap/>
          </w:tcPr>
          <w:p>
            <w:pPr>
              <w:jc w:val="center"/>
              <w:spacing w:line="240" w:lineRule="auto"/>
            </w:pPr>
            <w:r>
              <w:rPr/>
              <w:t xml:space="preserve">2</w:t>
            </w:r>
          </w:p>
        </w:tc>
        <w:tc>
          <w:tcPr>
            <w:tcW w:w="1800" w:type="dxa"/>
            <w:noWrap/>
          </w:tcPr>
          <w:p>
            <w:pPr>
              <w:jc w:val="center"/>
              <w:spacing w:line="240" w:lineRule="auto"/>
            </w:pPr>
            <w:r>
              <w:rPr/>
              <w:t xml:space="preserve">7</w:t>
            </w:r>
          </w:p>
        </w:tc>
        <w:tc>
          <w:tcPr>
            <w:tcW w:w="1800" w:type="dxa"/>
            <w:noWrap/>
          </w:tcPr>
          <w:p>
            <w:pPr>
              <w:jc w:val="center"/>
              <w:spacing w:line="240" w:lineRule="auto"/>
            </w:pPr>
            <w:r>
              <w:rPr/>
              <w:t xml:space="preserve">9</w:t>
            </w:r>
          </w:p>
        </w:tc>
      </w:tr>
      <w:tr>
        <w:trPr/>
        <w:tc>
          <w:tcPr>
            <w:tcW w:w="1800" w:type="dxa"/>
            <w:noWrap/>
          </w:tcPr>
          <w:p>
            <w:pPr>
              <w:jc w:val="center"/>
              <w:spacing w:line="240" w:lineRule="auto"/>
            </w:pPr>
            <w:r>
              <w:rPr>
                <w:sz w:val="24"/>
                <w:szCs w:val="24"/>
                <w:b w:val="1"/>
                <w:bCs w:val="1"/>
              </w:rPr>
              <w:t xml:space="preserve">當年留任率(D/C)(%)</w:t>
            </w:r>
          </w:p>
        </w:tc>
        <w:tc>
          <w:tcPr>
            <w:tcW w:w="1800" w:type="dxa"/>
            <w:noWrap/>
          </w:tcPr>
          <w:p>
            <w:pPr>
              <w:jc w:val="center"/>
              <w:spacing w:line="240" w:lineRule="auto"/>
            </w:pPr>
            <w:r>
              <w:rPr/>
              <w:t xml:space="preserve">100%</w:t>
            </w:r>
          </w:p>
        </w:tc>
        <w:tc>
          <w:tcPr>
            <w:tcW w:w="1800" w:type="dxa"/>
            <w:noWrap/>
          </w:tcPr>
          <w:p>
            <w:pPr>
              <w:jc w:val="center"/>
              <w:spacing w:line="240" w:lineRule="auto"/>
            </w:pPr>
            <w:r>
              <w:rPr/>
              <w:t xml:space="preserve">100%</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spacing w:line="240" w:lineRule="auto"/>
      </w:pPr>
      <w:r>
        <w:rPr/>
        <w:t xml:space="preserve">答案：員工可透過「華人心理治療基金會」提供的諮詢專線及個別面談。</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當年度申請員工過渡方案人數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90</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第一題</w:t>
            </w:r>
          </w:p>
        </w:tc>
        <w:tc>
          <w:tcPr>
            <w:tcW w:w="1800" w:type="dxa"/>
            <w:noWrap/>
          </w:tcPr>
          <w:p>
            <w:pPr>
              <w:jc w:val="center"/>
              <w:spacing w:line="240" w:lineRule="auto"/>
            </w:pPr>
            <w:r>
              <w:rPr/>
              <w:t xml:space="preserve">
</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新人訓練</w:t>
            </w:r>
          </w:p>
        </w:tc>
        <w:tc>
          <w:tcPr>
            <w:tcW w:w="1800" w:type="dxa"/>
            <w:noWrap/>
          </w:tcPr>
          <w:p>
            <w:pPr>
              <w:jc w:val="center"/>
              <w:spacing w:line="240" w:lineRule="auto"/>
            </w:pPr>
            <w:r>
              <w:rPr>
                <w:sz w:val="24"/>
                <w:szCs w:val="24"/>
                <w:b w:val="1"/>
                <w:bCs w:val="1"/>
              </w:rPr>
              <w:t xml:space="preserve">中高階主管訓練</w:t>
            </w:r>
          </w:p>
        </w:tc>
        <w:tc>
          <w:tcPr>
            <w:tcW w:w="1800" w:type="dxa"/>
            <w:noWrap/>
          </w:tcPr>
          <w:p>
            <w:pPr>
              <w:jc w:val="center"/>
              <w:spacing w:line="240" w:lineRule="auto"/>
            </w:pPr>
            <w:r>
              <w:rPr>
                <w:sz w:val="24"/>
                <w:szCs w:val="24"/>
                <w:b w:val="1"/>
                <w:bCs w:val="1"/>
              </w:rPr>
              <w:t xml:space="preserve">專職人員</w:t>
            </w:r>
          </w:p>
        </w:tc>
        <w:tc>
          <w:tcPr>
            <w:tcW w:w="1800" w:type="dxa"/>
            <w:noWrap/>
          </w:tcPr>
          <w:p>
            <w:pPr>
              <w:jc w:val="center"/>
              <w:spacing w:line="240" w:lineRule="auto"/>
            </w:pPr>
            <w:r>
              <w:rPr>
                <w:sz w:val="24"/>
                <w:szCs w:val="24"/>
                <w:b w:val="1"/>
                <w:bCs w:val="1"/>
              </w:rPr>
              <w:t xml:space="preserve">其他教育訓練，請列點說明</w:t>
            </w:r>
          </w:p>
        </w:tc>
      </w:tr>
      <w:tr>
        <w:trPr/>
        <w:tc>
          <w:tcPr>
            <w:tcW w:w="1800" w:type="dxa"/>
            <w:noWrap/>
          </w:tcPr>
          <w:p>
            <w:pPr>
              <w:jc w:val="center"/>
              <w:spacing w:line="240" w:lineRule="auto"/>
            </w:pPr>
            <w:r>
              <w:rPr/>
              <w:t xml:space="preserve">除依「教育訓練實施辦法」執行「職前訓練」外，以「師徒制」方式指定資深同仁教導專業知識與技能。</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加強資安宣導及教育訓練</w:t>
            </w:r>
          </w:p>
        </w:tc>
      </w:tr>
      <w:tr>
        <w:trPr/>
        <w:tc>
          <w:tcPr>
            <w:tcW w:w="1800" w:type="dxa"/>
            <w:noWrap/>
          </w:tcPr>
          <w:p>
            <w:pPr>
              <w:jc w:val="center"/>
              <w:spacing w:line="240" w:lineRule="auto"/>
            </w:pPr>
            <w:r>
              <w:rPr/>
              <w:t xml:space="preserve">員工依據一般職
能資格、特定職能資格及關鍵人力清單及職能確認表來提出年度教育訓練需求
調查表以強化各類員工的職能。</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強化全員風險意識</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專利相關教育訓練6場</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人權相關教育訓練</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職業安全衛生2022年共舉辦了100場次</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供應商: ESG教育訓練與建議</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承攬商: 教育訓練共42場次/359人</w:t>
            </w:r>
          </w:p>
        </w:tc>
      </w:tr>
    </w:tbl>
    <w:p>
      <w:pPr/>
      <w:r>
        <w:rPr/>
        <w:t xml:space="preserve"/>
      </w:r>
    </w:p>
    <w:p>
      <w:pPr>
        <w:spacing w:line="240" w:lineRule="auto"/>
      </w:pPr>
      <w:r>
        <w:rPr>
          <w:sz w:val="28"/>
          <w:szCs w:val="28"/>
          <w:b w:val="1"/>
          <w:bCs w:val="1"/>
          <w:u w:val="single"/>
        </w:rPr>
        <w:t xml:space="preserve">請說明貴公司績效考核政策與流程?</w:t>
      </w:r>
    </w:p>
    <w:p>
      <w:pPr>
        <w:spacing w:line="240" w:lineRule="auto"/>
      </w:pPr>
      <w:r>
        <w:rPr/>
        <w:t xml:space="preserve">答案：本公司訂定「考績處理程序」進行績效考核，每年月及月實施年度重點工作與員工溝通評核，做為職能培訓與職務升遷之依據。
年引進、並先讓高階主管試行「管理能力評鑑工具」之發展計畫，以強化精壯組織，增進公司競爭力。</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sz w:val="24"/>
                <w:szCs w:val="24"/>
                <w:b w:val="1"/>
                <w:bCs w:val="1"/>
              </w:rPr>
              <w:t xml:space="preserve">當年度績效考核人數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請問貴公司是否進行保全人權訓練?</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廠區人數 (位)</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主要負責同仁 (位)</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職安衛同仁姓名/聯繫方式</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通過認證類別/同仁</w:t>
            </w:r>
          </w:p>
        </w:tc>
        <w:tc>
          <w:tcPr>
            <w:tcW w:w="1800" w:type="dxa"/>
            <w:noWrap/>
          </w:tcPr>
          <w:p>
            <w:pPr>
              <w:jc w:val="center"/>
              <w:spacing w:line="240" w:lineRule="auto"/>
            </w:pPr>
            <w:r>
              <w:rPr/>
              <w:t xml:space="preserve">集團:
1.通過之年度職業安全衛生管理系統驗證
2. 醫藥事業處通過台灣GDP認證
3. ISO 45001職業安全衛生管理系統定期查證_x000C__x000B_</w:t>
            </w:r>
          </w:p>
        </w:tc>
        <w:tc>
          <w:tcPr>
            <w:tcW w:w="1800" w:type="dxa"/>
            <w:noWrap/>
          </w:tcPr>
          <w:p>
            <w:pPr>
              <w:jc w:val="center"/>
              <w:spacing w:line="240" w:lineRule="auto"/>
            </w:pPr>
            <w:r>
              <w:rPr/>
              <w:t xml:space="preserve">永光一廠:
三度通過綠色工廠標章之清潔生產評定</w:t>
            </w:r>
          </w:p>
        </w:tc>
        <w:tc>
          <w:tcPr>
            <w:tcW w:w="1800" w:type="dxa"/>
            <w:noWrap/>
          </w:tcPr>
          <w:p>
            <w:pPr>
              <w:jc w:val="center"/>
              <w:spacing w:line="240" w:lineRule="auto"/>
            </w:pPr>
            <w:r>
              <w:rPr/>
              <w:t xml:space="preserve">永光二廠:
1. 再度榮獲桃園市政府頒發企業河川認養特優獎
2. 獲頒聯防組織實作測試績 - 優獎</w:t>
            </w:r>
          </w:p>
        </w:tc>
      </w:tr>
      <w:tr>
        <w:trPr/>
        <w:tc>
          <w:tcPr>
            <w:tcW w:w="1800" w:type="dxa"/>
            <w:noWrap/>
          </w:tcPr>
          <w:p>
            <w:pPr>
              <w:jc w:val="center"/>
              <w:spacing w:line="240" w:lineRule="auto"/>
            </w:pPr>
            <w:r>
              <w:rPr>
                <w:sz w:val="24"/>
                <w:szCs w:val="24"/>
                <w:b w:val="1"/>
                <w:bCs w:val="1"/>
              </w:rPr>
              <w:t xml:space="preserve">管理系統</w:t>
            </w:r>
          </w:p>
        </w:tc>
        <w:tc>
          <w:tcPr>
            <w:tcW w:w="1800" w:type="dxa"/>
            <w:noWrap/>
          </w:tcPr>
          <w:p>
            <w:pPr>
              <w:jc w:val="center"/>
              <w:spacing w:line="240" w:lineRule="auto"/>
            </w:pPr>
            <w:r>
              <w:rPr/>
              <w:t xml:space="preserve">ISO 50001管理系統</w:t>
            </w:r>
          </w:p>
        </w:tc>
        <w:tc>
          <w:tcPr>
            <w:tcW w:w="1800" w:type="dxa"/>
            <w:noWrap/>
          </w:tcPr>
          <w:p>
            <w:pPr>
              <w:jc w:val="center"/>
              <w:spacing w:line="240" w:lineRule="auto"/>
            </w:pPr>
            <w:r>
              <w:rPr/>
              <w:t xml:space="preserve">TIPS 之A級再驗證
</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管理系統期限</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2024/12/31</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職業安全衛生管理方針</w:t>
            </w:r>
          </w:p>
        </w:tc>
        <w:tc>
          <w:tcPr>
            <w:tcW w:w="1800" w:type="dxa"/>
            <w:noWrap/>
          </w:tcPr>
          <w:p>
            <w:pPr>
              <w:jc w:val="center"/>
              <w:spacing w:line="240" w:lineRule="auto"/>
            </w:pPr>
            <w:r>
              <w:rPr/>
              <w:t xml:space="preserve">永光集團制訂「安全衛生政策：尊重生命，追求零災害」為職安衛管理之最高指導原則。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t xml:space="preserve">1. 總機構及廠區職業安全衛生委員會
2. 公司安衛管理委員會
廠區安衛管理小組及安衛專責單位
3. 總機構及廠區成立一級安衛業務專責單位及人員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政策與承諾</w:t>
            </w:r>
          </w:p>
        </w:tc>
        <w:tc>
          <w:tcPr>
            <w:tcW w:w="1800" w:type="dxa"/>
            <w:noWrap/>
          </w:tcPr>
          <w:p>
            <w:pPr>
              <w:jc w:val="center"/>
              <w:spacing w:line="240" w:lineRule="auto"/>
            </w:pPr>
            <w:r>
              <w:rPr/>
              <w:t xml:space="preserve">1. 實施 ISO 50001職業2. 安全衛生管理體系。
3. 提供安全和健康的工作條件。
4. 遵守安衛法令和其他要求。
5. 消除危害和降低職安衛風險。
6. 推動員工安衛諮商和參與。</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短中長期目標</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申訴機制</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內部稽核機制</w:t>
            </w:r>
          </w:p>
        </w:tc>
        <w:tc>
          <w:tcPr>
            <w:tcW w:w="1800" w:type="dxa"/>
            <w:noWrap/>
          </w:tcPr>
          <w:p>
            <w:pPr>
              <w:jc w:val="center"/>
              <w:spacing w:line="240" w:lineRule="auto"/>
            </w:pPr>
            <w:r>
              <w:rPr/>
              <w:t xml:space="preserve">1. 勞動檢查法第_x000C_32條申訴公告書適用台灣地區。
2. 職場不法侵害申訴：
2022年有一件申訴事件，已依本公司相關規定立即妥善處置。
3. 員工權益受損申訴。
4. 工作場所性騷擾申訴。</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外部稽核機制</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t xml:space="preserve">營運總部 2022/4/7
永光三廠
2022/4/8
永光四廠 
2022/3/21
全通科技一、二、三廠
2022/5/11-5/18
 蘇州永光
2022/3/29-4/1</w:t>
            </w:r>
          </w:p>
        </w:tc>
        <w:tc>
          <w:tcPr>
            <w:tcW w:w="1800" w:type="dxa"/>
            <w:noWrap/>
          </w:tcPr>
          <w:p>
            <w:pPr>
              <w:jc w:val="center"/>
              <w:spacing w:line="240" w:lineRule="auto"/>
            </w:pPr>
            <w:r>
              <w:rPr/>
              <w:t xml:space="preserve">永光一廠 2022/3/15 </w:t>
            </w:r>
          </w:p>
        </w:tc>
        <w:tc>
          <w:tcPr>
            <w:tcW w:w="1800" w:type="dxa"/>
            <w:noWrap/>
          </w:tcPr>
          <w:p>
            <w:pPr>
              <w:jc w:val="center"/>
              <w:spacing w:line="240" w:lineRule="auto"/>
            </w:pPr>
            <w:r>
              <w:rPr/>
              <w:t xml:space="preserve">永光二廠2022/3/17</w:t>
            </w:r>
          </w:p>
        </w:tc>
      </w:tr>
      <w:tr>
        <w:trPr/>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請問貴公司是否進行風險分級管控?</w:t>
      </w:r>
    </w:p>
    <w:p>
      <w:pPr>
        <w:spacing w:line="240" w:lineRule="auto"/>
      </w:pPr>
      <w:r>
        <w:rPr/>
        <w:t xml:space="preserve">答案：否</w:t>
      </w:r>
    </w:p>
    <w:p>
      <w:pPr/>
      <w:r>
        <w:rPr/>
        <w:t xml:space="preserve"/>
      </w:r>
    </w:p>
    <w:p>
      <w:pPr>
        <w:spacing w:line="240" w:lineRule="auto"/>
      </w:pPr>
      <w:r>
        <w:rPr>
          <w:sz w:val="28"/>
          <w:szCs w:val="28"/>
          <w:b w:val="1"/>
          <w:bCs w:val="1"/>
          <w:u w:val="single"/>
        </w:rPr>
        <w:t xml:space="preserve">請問說明公司如何進行職業安全風險管理與危害辨識?</w:t>
      </w:r>
    </w:p>
    <w:p>
      <w:pPr>
        <w:spacing w:line="240" w:lineRule="auto"/>
      </w:pPr>
      <w:r>
        <w:rPr/>
        <w:t xml:space="preserve">答案：永光於2022年通過的ISO 45001_x000C__x000B_驗證場址，已經建立危害鑑別、風險與機會評估管制程序，並由各單位全體工
作者參與，上述工作者均完成訓練，具備評估能力。</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職業健康服務功能類別</w:t>
            </w:r>
          </w:p>
        </w:tc>
        <w:tc>
          <w:tcPr>
            <w:tcW w:w="1800" w:type="dxa"/>
            <w:noWrap/>
          </w:tcPr>
          <w:p>
            <w:pPr>
              <w:jc w:val="center"/>
              <w:spacing w:line="240" w:lineRule="auto"/>
            </w:pPr>
            <w:r>
              <w:rPr>
                <w:sz w:val="24"/>
                <w:szCs w:val="24"/>
                <w:b w:val="1"/>
                <w:bCs w:val="1"/>
              </w:rPr>
              <w:t xml:space="preserve">如何確保品質與效益</w:t>
            </w:r>
          </w:p>
        </w:tc>
      </w:tr>
      <w:tr>
        <w:trPr/>
        <w:tc>
          <w:tcPr>
            <w:tcW w:w="1800" w:type="dxa"/>
            <w:noWrap/>
          </w:tcPr>
          <w:p>
            <w:pPr>
              <w:jc w:val="center"/>
              <w:spacing w:line="240" w:lineRule="auto"/>
            </w:pPr>
            <w:r>
              <w:rPr>
                <w:sz w:val="24"/>
                <w:szCs w:val="24"/>
                <w:b w:val="1"/>
                <w:bCs w:val="1"/>
              </w:rPr>
              <w:t xml:space="preserve">請說明</w:t>
            </w:r>
          </w:p>
        </w:tc>
        <w:tc>
          <w:tcPr>
            <w:tcW w:w="1800" w:type="dxa"/>
            <w:noWrap/>
          </w:tcPr>
          <w:p>
            <w:pPr>
              <w:jc w:val="center"/>
              <w:spacing w:line="240" w:lineRule="auto"/>
            </w:pPr>
            <w:r>
              <w:rPr/>
              <w:t xml:space="preserve">集團</w:t>
            </w:r>
          </w:p>
        </w:tc>
        <w:tc>
          <w:tcPr>
            <w:tcW w:w="1800" w:type="dxa"/>
            <w:noWrap/>
          </w:tcPr>
          <w:p>
            <w:pPr>
              <w:jc w:val="center"/>
              <w:spacing w:line="240" w:lineRule="auto"/>
            </w:pPr>
            <w:r>
              <w:rPr/>
              <w:t xml:space="preserve">1.健康檢查
2.施臨場健康服務(醫師臨場服務次數、護理師臨場服務次數、參加衛教活動員工總數、接受面談指導員工總數)
3.行健康保護或預防計畫(包含中高齡及高齡工作者、夜間工作者)
4.母性健康保護</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spacing w:line="240" w:lineRule="auto"/>
      </w:pPr>
      <w:r>
        <w:rPr/>
        <w:t xml:space="preserve">答案：a. 
1.以「首重安全，次保品質，三求效率」為工作三要，依據ISO 45001職業安全衛生管理系統架構，建立相關管理規範
2. 評估機制:1.安衛管理審查(1次/年)2.ESG委員會(2次/年)3.廠處方針計畫檢討(1次/季)4.公司內部安衛管理系統稽核(1次/年)5.外部驗證單位(DNV)查核安衛管理系統稽核(1次/年)
3. 營運總部及各生產場址設有職業安全衛生委員會，對安衛政策提出建議，並審議協調及建議安衛相關事項，2022年開會次數合計28次，勞工代表人數與比率為30%~56%</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spacing w:line="240" w:lineRule="auto"/>
      </w:pPr>
      <w:r>
        <w:rPr/>
        <w:t xml:space="preserve">答案：是</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廠區及廠址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補充說明</w:t>
            </w:r>
          </w:p>
        </w:tc>
      </w:tr>
      <w:tr>
        <w:trPr/>
        <w:tc>
          <w:tcPr>
            <w:tcW w:w="1800" w:type="dxa"/>
            <w:noWrap/>
          </w:tcPr>
          <w:p>
            <w:pPr>
              <w:jc w:val="center"/>
              <w:spacing w:line="240" w:lineRule="auto"/>
            </w:pPr>
            <w:r>
              <w:rPr/>
              <w:t xml:space="preserve">公司營運總部及各生產場址設</w:t>
            </w:r>
          </w:p>
        </w:tc>
        <w:tc>
          <w:tcPr>
            <w:tcW w:w="1800" w:type="dxa"/>
            <w:noWrap/>
          </w:tcPr>
          <w:p>
            <w:pPr>
              <w:jc w:val="center"/>
              <w:spacing w:line="240" w:lineRule="auto"/>
            </w:pPr>
            <w:r>
              <w:rPr/>
              <w:t xml:space="preserve">28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勞工代表人數與比率30%~56%</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件數</w:t>
            </w:r>
          </w:p>
        </w:tc>
      </w:tr>
      <w:tr>
        <w:trPr/>
        <w:tc>
          <w:tcPr>
            <w:tcW w:w="1800" w:type="dxa"/>
            <w:noWrap/>
          </w:tcPr>
          <w:p>
            <w:pPr>
              <w:jc w:val="center"/>
              <w:spacing w:line="240" w:lineRule="auto"/>
            </w:pPr>
            <w:r>
              <w:rPr>
                <w:sz w:val="24"/>
                <w:szCs w:val="24"/>
                <w:b w:val="1"/>
                <w:bCs w:val="1"/>
              </w:rPr>
              <w:t xml:space="preserve">動火</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高架</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局限空間</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臨時用電</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屋頂作業</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其他</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職前訓練</w:t>
            </w:r>
          </w:p>
        </w:tc>
        <w:tc>
          <w:tcPr>
            <w:tcW w:w="1800" w:type="dxa"/>
            <w:noWrap/>
          </w:tcPr>
          <w:p>
            <w:pPr>
              <w:jc w:val="center"/>
              <w:spacing w:line="240" w:lineRule="auto"/>
            </w:pPr>
            <w:r>
              <w:rPr>
                <w:sz w:val="24"/>
                <w:szCs w:val="24"/>
                <w:b w:val="1"/>
                <w:bCs w:val="1"/>
              </w:rPr>
              <w:t xml:space="preserve">法令證照訓練</w:t>
            </w:r>
          </w:p>
        </w:tc>
        <w:tc>
          <w:tcPr>
            <w:tcW w:w="1800" w:type="dxa"/>
            <w:noWrap/>
          </w:tcPr>
          <w:p>
            <w:pPr>
              <w:jc w:val="center"/>
              <w:spacing w:line="240" w:lineRule="auto"/>
            </w:pPr>
            <w:r>
              <w:rPr>
                <w:sz w:val="24"/>
                <w:szCs w:val="24"/>
                <w:b w:val="1"/>
                <w:bCs w:val="1"/>
              </w:rPr>
              <w:t xml:space="preserve">在職訓練</w:t>
            </w:r>
          </w:p>
        </w:tc>
      </w:tr>
      <w:tr>
        <w:trPr/>
        <w:tc>
          <w:tcPr>
            <w:tcW w:w="1800" w:type="dxa"/>
            <w:noWrap/>
          </w:tcPr>
          <w:p>
            <w:pPr>
              <w:jc w:val="center"/>
              <w:spacing w:line="240" w:lineRule="auto"/>
            </w:pPr>
            <w:r>
              <w:rPr>
                <w:sz w:val="24"/>
                <w:szCs w:val="24"/>
                <w:b w:val="1"/>
                <w:bCs w:val="1"/>
              </w:rPr>
              <w:t xml:space="preserve">對象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總人次</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總時數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r>
      <w:tr>
        <w:trPr/>
        <w:tc>
          <w:tcPr>
            <w:tcW w:w="1800" w:type="dxa"/>
            <w:noWrap/>
          </w:tcPr>
          <w:p>
            <w:pPr>
              <w:jc w:val="center"/>
              <w:spacing w:line="240" w:lineRule="auto"/>
            </w:pPr>
            <w:r>
              <w:rPr/>
              <w:t xml:space="preserve">3506675小時(永光員工)
29880(永光非員工)</w:t>
            </w:r>
          </w:p>
        </w:tc>
        <w:tc>
          <w:tcPr>
            <w:tcW w:w="1800" w:type="dxa"/>
            <w:noWrap/>
          </w:tcPr>
          <w:p>
            <w:pPr>
              <w:jc w:val="center"/>
              <w:spacing w:line="240" w:lineRule="auto"/>
            </w:pPr>
            <w:r>
              <w:rPr/>
              <w:t xml:space="preserve">5.21%</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4.27</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職業病數量</w:t>
            </w:r>
          </w:p>
        </w:tc>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1.14</w:t>
            </w:r>
          </w:p>
        </w:tc>
        <w:tc>
          <w:tcPr>
            <w:tcW w:w="1800" w:type="dxa"/>
            <w:noWrap/>
          </w:tcPr>
          <w:p>
            <w:pPr>
              <w:jc w:val="center"/>
              <w:spacing w:line="240" w:lineRule="auto"/>
            </w:pPr>
            <w:r>
              <w:rPr/>
              <w:t xml:space="preserve"/>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r>
        <w:trPr/>
        <w:tc>
          <w:tcPr>
            <w:tcW w:w="1800" w:type="dxa"/>
            <w:noWrap/>
          </w:tcPr>
          <w:p>
            <w:pPr>
              <w:jc w:val="center"/>
              <w:spacing w:line="240" w:lineRule="auto"/>
            </w:pPr>
            <w:r>
              <w:rPr/>
              <w:t xml:space="preserve">0.28</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r>
        <w:trPr/>
        <w:tc>
          <w:tcPr>
            <w:tcW w:w="1800" w:type="dxa"/>
            <w:noWrap/>
          </w:tcPr>
          <w:p>
            <w:pPr>
              <w:jc w:val="center"/>
              <w:spacing w:line="240" w:lineRule="auto"/>
            </w:pPr>
            <w:r>
              <w:rPr>
                <w:sz w:val="24"/>
                <w:szCs w:val="24"/>
                <w:b w:val="1"/>
                <w:bCs w:val="1"/>
              </w:rPr>
              <w:t xml:space="preserve">死亡</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0</w:t>
            </w:r>
          </w:p>
        </w:tc>
      </w:tr>
      <w:tr>
        <w:trPr/>
        <w:tc>
          <w:tcPr>
            <w:tcW w:w="1800" w:type="dxa"/>
            <w:noWrap/>
          </w:tcPr>
          <w:p>
            <w:pPr>
              <w:jc w:val="center"/>
              <w:spacing w:line="240" w:lineRule="auto"/>
            </w:pPr>
            <w:r>
              <w:rPr>
                <w:sz w:val="24"/>
                <w:szCs w:val="24"/>
                <w:b w:val="1"/>
                <w:bCs w:val="1"/>
              </w:rPr>
              <w:t xml:space="preserve">永久全失能</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0</w:t>
            </w:r>
          </w:p>
        </w:tc>
      </w:tr>
      <w:tr>
        <w:trPr/>
        <w:tc>
          <w:tcPr>
            <w:tcW w:w="1800" w:type="dxa"/>
            <w:noWrap/>
          </w:tcPr>
          <w:p>
            <w:pPr>
              <w:jc w:val="center"/>
              <w:spacing w:line="240" w:lineRule="auto"/>
            </w:pPr>
            <w:r>
              <w:rPr>
                <w:sz w:val="24"/>
                <w:szCs w:val="24"/>
                <w:b w:val="1"/>
                <w:bCs w:val="1"/>
              </w:rPr>
              <w:t xml:space="preserve">永久部分失能</w:t>
            </w:r>
          </w:p>
        </w:tc>
        <w:tc>
          <w:tcPr>
            <w:tcW w:w="1800" w:type="dxa"/>
            <w:noWrap/>
          </w:tcPr>
          <w:p>
            <w:pPr>
              <w:jc w:val="center"/>
              <w:spacing w:line="240" w:lineRule="auto"/>
            </w:pPr>
            <w:r>
              <w:rPr/>
              <w:t xml:space="preserve">0</w:t>
            </w:r>
          </w:p>
        </w:tc>
        <w:tc>
          <w:tcPr>
            <w:tcW w:w="1800" w:type="dxa"/>
            <w:noWrap/>
          </w:tcPr>
          <w:p>
            <w:pPr>
              <w:jc w:val="center"/>
              <w:spacing w:line="240" w:lineRule="auto"/>
            </w:pPr>
            <w:r>
              <w:rPr/>
              <w:t xml:space="preserve">0</w:t>
            </w:r>
          </w:p>
        </w:tc>
      </w:tr>
      <w:tr>
        <w:trPr/>
        <w:tc>
          <w:tcPr>
            <w:tcW w:w="1800" w:type="dxa"/>
            <w:noWrap/>
          </w:tcPr>
          <w:p>
            <w:pPr>
              <w:jc w:val="center"/>
              <w:spacing w:line="240" w:lineRule="auto"/>
            </w:pPr>
            <w:r>
              <w:rPr>
                <w:sz w:val="24"/>
                <w:szCs w:val="24"/>
                <w:b w:val="1"/>
                <w:bCs w:val="1"/>
              </w:rPr>
              <w:t xml:space="preserve">暫時全失能</w:t>
            </w:r>
          </w:p>
        </w:tc>
        <w:tc>
          <w:tcPr>
            <w:tcW w:w="1800" w:type="dxa"/>
            <w:noWrap/>
          </w:tcPr>
          <w:p>
            <w:pPr>
              <w:jc w:val="center"/>
              <w:spacing w:line="240" w:lineRule="auto"/>
            </w:pPr>
            <w:r>
              <w:rPr/>
              <w:t xml:space="preserve">1</w:t>
            </w:r>
          </w:p>
        </w:tc>
        <w:tc>
          <w:tcPr>
            <w:tcW w:w="1800" w:type="dxa"/>
            <w:noWrap/>
          </w:tcPr>
          <w:p>
            <w:pPr>
              <w:jc w:val="center"/>
              <w:spacing w:line="240" w:lineRule="auto"/>
            </w:pPr>
            <w:r>
              <w:rPr/>
              <w:t xml:space="preserve">4</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受檢人數</w:t>
            </w:r>
          </w:p>
        </w:tc>
      </w:tr>
      <w:tr>
        <w:trPr/>
        <w:tc>
          <w:tcPr>
            <w:tcW w:w="1800" w:type="dxa"/>
            <w:noWrap/>
          </w:tcPr>
          <w:p>
            <w:pPr>
              <w:jc w:val="center"/>
              <w:spacing w:line="240" w:lineRule="auto"/>
            </w:pPr>
            <w:r>
              <w:rPr>
                <w:sz w:val="24"/>
                <w:szCs w:val="24"/>
                <w:b w:val="1"/>
                <w:bCs w:val="1"/>
              </w:rPr>
              <w:t xml:space="preserve">一般體格檢查 (新進或調職)</w:t>
            </w:r>
          </w:p>
        </w:tc>
        <w:tc>
          <w:tcPr>
            <w:tcW w:w="1800" w:type="dxa"/>
            <w:noWrap/>
          </w:tcPr>
          <w:p>
            <w:pPr>
              <w:jc w:val="center"/>
              <w:spacing w:line="240" w:lineRule="auto"/>
            </w:pPr>
            <w:r>
              <w:rPr/>
              <w:t xml:space="preserve">217</w:t>
            </w:r>
          </w:p>
        </w:tc>
      </w:tr>
      <w:tr>
        <w:trPr/>
        <w:tc>
          <w:tcPr>
            <w:tcW w:w="1800" w:type="dxa"/>
            <w:noWrap/>
          </w:tcPr>
          <w:p>
            <w:pPr>
              <w:jc w:val="center"/>
              <w:spacing w:line="240" w:lineRule="auto"/>
            </w:pPr>
            <w:r>
              <w:rPr>
                <w:sz w:val="24"/>
                <w:szCs w:val="24"/>
                <w:b w:val="1"/>
                <w:bCs w:val="1"/>
              </w:rPr>
              <w:t xml:space="preserve">特殊體格檢查 (從事特別危害健康作業之工作者)</w:t>
            </w:r>
          </w:p>
        </w:tc>
        <w:tc>
          <w:tcPr>
            <w:tcW w:w="1800" w:type="dxa"/>
            <w:noWrap/>
          </w:tcPr>
          <w:p>
            <w:pPr>
              <w:jc w:val="center"/>
              <w:spacing w:line="240" w:lineRule="auto"/>
            </w:pPr>
            <w:r>
              <w:rPr/>
              <w:t xml:space="preserve">98</w:t>
            </w:r>
          </w:p>
        </w:tc>
      </w:tr>
      <w:tr>
        <w:trPr/>
        <w:tc>
          <w:tcPr>
            <w:tcW w:w="1800" w:type="dxa"/>
            <w:noWrap/>
          </w:tcPr>
          <w:p>
            <w:pPr>
              <w:jc w:val="center"/>
              <w:spacing w:line="240" w:lineRule="auto"/>
            </w:pPr>
            <w:r>
              <w:rPr>
                <w:sz w:val="24"/>
                <w:szCs w:val="24"/>
                <w:b w:val="1"/>
                <w:bCs w:val="1"/>
              </w:rPr>
              <w:t xml:space="preserve">一般健康檢查 (所有在職員工)</w:t>
            </w:r>
          </w:p>
        </w:tc>
        <w:tc>
          <w:tcPr>
            <w:tcW w:w="1800" w:type="dxa"/>
            <w:noWrap/>
          </w:tcPr>
          <w:p>
            <w:pPr>
              <w:jc w:val="center"/>
              <w:spacing w:line="240" w:lineRule="auto"/>
            </w:pPr>
            <w:r>
              <w:rPr/>
              <w:t xml:space="preserve">1368</w:t>
            </w:r>
          </w:p>
        </w:tc>
      </w:tr>
      <w:tr>
        <w:trPr/>
        <w:tc>
          <w:tcPr>
            <w:tcW w:w="1800" w:type="dxa"/>
            <w:noWrap/>
          </w:tcPr>
          <w:p>
            <w:pPr>
              <w:jc w:val="center"/>
              <w:spacing w:line="240" w:lineRule="auto"/>
            </w:pPr>
            <w:r>
              <w:rPr>
                <w:sz w:val="24"/>
                <w:szCs w:val="24"/>
                <w:b w:val="1"/>
                <w:bCs w:val="1"/>
              </w:rPr>
              <w:t xml:space="preserve">資深員工健康檢查</w:t>
            </w:r>
          </w:p>
        </w:tc>
        <w:tc>
          <w:tcPr>
            <w:tcW w:w="1800" w:type="dxa"/>
            <w:noWrap/>
          </w:tcPr>
          <w:p>
            <w:pPr>
              <w:jc w:val="center"/>
              <w:spacing w:line="240" w:lineRule="auto"/>
            </w:pPr>
            <w:r>
              <w:rPr/>
              <w:t xml:space="preserve">93</w:t>
            </w:r>
          </w:p>
        </w:tc>
      </w:tr>
      <w:tr>
        <w:trPr/>
        <w:tc>
          <w:tcPr>
            <w:tcW w:w="1800" w:type="dxa"/>
            <w:noWrap/>
          </w:tcPr>
          <w:p>
            <w:pPr>
              <w:jc w:val="center"/>
              <w:spacing w:line="240" w:lineRule="auto"/>
            </w:pPr>
            <w:r>
              <w:rPr>
                <w:sz w:val="24"/>
                <w:szCs w:val="24"/>
                <w:b w:val="1"/>
                <w:bCs w:val="1"/>
              </w:rPr>
              <w:t xml:space="preserve">高階主管檢康檢查</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r>
        <w:trPr/>
        <w:tc>
          <w:tcPr>
            <w:tcW w:w="1800" w:type="dxa"/>
            <w:noWrap/>
          </w:tcPr>
          <w:p>
            <w:pPr>
              <w:jc w:val="center"/>
              <w:spacing w:line="240" w:lineRule="auto"/>
            </w:pPr>
            <w:r>
              <w:rPr>
                <w:sz w:val="24"/>
                <w:szCs w:val="24"/>
                <w:b w:val="1"/>
                <w:bCs w:val="1"/>
              </w:rPr>
              <w:t xml:space="preserve">醫師臨場服務次數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護理師臨場服務次數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參加衛教活動員工總數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接受面談指導員工總數</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r>
        <w:trPr/>
        <w:tc>
          <w:tcPr>
            <w:tcW w:w="1800" w:type="dxa"/>
            <w:noWrap/>
          </w:tcPr>
          <w:p>
            <w:pPr>
              <w:jc w:val="center"/>
              <w:spacing w:line="240" w:lineRule="auto"/>
            </w:pPr>
            <w:r>
              <w:rPr/>
              <w:t xml:space="preserve">法規符合性</w:t>
            </w:r>
          </w:p>
        </w:tc>
        <w:tc>
          <w:tcPr>
            <w:tcW w:w="1800" w:type="dxa"/>
            <w:noWrap/>
          </w:tcPr>
          <w:p>
            <w:pPr>
              <w:jc w:val="center"/>
              <w:spacing w:line="240" w:lineRule="auto"/>
            </w:pPr>
            <w:r>
              <w:rPr/>
              <w:t xml:space="preserve">13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職業安全衛生</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2022年8月各營運據點皆通過DNV每年度 IS0 45001 職業安全衛生管理系統定期查證 .
查驗結果 :
25項次要缺失
21項觀察事項 
2項機會均已改善完成</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污染預防</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產品責任</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 建立有害化學物質管理流程
2. 不使用衝突礦產原料
3. 不使用經過動物實驗的原料
4.導入™清單轉譯工具
5.合規的產品安全資料(SDS)、標(Labelling)與安全溝通
6. 產品健康指數</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客戶關係與
行銷發展</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1. 2022年執行情形: 達成清通頻率與目標
2. 2022年通過客戶 /品牌商的稽核與查證.且全公司客戶滿意度達90分，達成年度目標(&gt; 88分)。
具體做為包括:
(1)營業單位召開年度代理商大會並安排客戶訪視
(2)2022年順利通過客戶端各項查證稽核 。包括: 提供各項ESG佐證資料 、接受客戶到廠查證
(3)我們將持續盡力滿足顯客需求 , 共創價值</w:t>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組織韌性</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公司或廠區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受益人及人數</w:t>
            </w:r>
          </w:p>
        </w:tc>
      </w:tr>
      <w:tr>
        <w:trPr/>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2023-11-30T14:12:39+08:00</dcterms:created>
  <dcterms:modified xsi:type="dcterms:W3CDTF">2023-11-30T14:12:39+08:00</dcterms:modified>
</cp:coreProperties>
</file>

<file path=docProps/custom.xml><?xml version="1.0" encoding="utf-8"?>
<Properties xmlns="http://schemas.openxmlformats.org/officeDocument/2006/custom-properties" xmlns:vt="http://schemas.openxmlformats.org/officeDocument/2006/docPropsVTypes"/>
</file>