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!20231016 康普(練習3)</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康普材料科技股份有限公司</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上市</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總部康普材料位於新竹工業區</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台灣、中國(寧波廠 漳州廠)、泰國(泰國廠)</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康普材料 新竹廠 </w:t>
            </w:r>
          </w:p>
        </w:tc>
        <w:tc>
          <w:tcPr>
            <w:tcW w:w="1800" w:type="dxa"/>
          </w:tcPr>
          <w:p>
            <w:pPr>
              <w:jc w:val="center"/>
              <w:spacing w:line="240" w:lineRule="auto"/>
            </w:pPr>
            <w:r>
              <w:rPr/>
              <w:t xml:space="preserve"> 新竹縣湖口鄉新竹工業區文化路 11 號</w:t>
            </w:r>
          </w:p>
        </w:tc>
        <w:tc>
          <w:tcPr>
            <w:tcW w:w="1800" w:type="dxa"/>
          </w:tcPr>
          <w:p>
            <w:pPr>
              <w:jc w:val="center"/>
              <w:spacing w:line="240" w:lineRule="auto"/>
            </w:pPr>
            <w:r>
              <w:rPr/>
              <w:t xml:space="preserve">+886 3 598 3101</w:t>
            </w:r>
          </w:p>
        </w:tc>
      </w:tr>
      <w:tr>
        <w:trPr/>
        <w:tc>
          <w:tcPr>
            <w:tcW w:w="1800" w:type="dxa"/>
          </w:tcPr>
          <w:p>
            <w:pPr>
              <w:jc w:val="center"/>
              <w:spacing w:line="240" w:lineRule="auto"/>
            </w:pPr>
            <w:r>
              <w:rPr/>
              <w:t xml:space="preserve">康普材料 頭份廠</w:t>
            </w:r>
          </w:p>
        </w:tc>
        <w:tc>
          <w:tcPr>
            <w:tcW w:w="1800" w:type="dxa"/>
          </w:tcPr>
          <w:p>
            <w:pPr>
              <w:jc w:val="center"/>
              <w:spacing w:line="240" w:lineRule="auto"/>
            </w:pPr>
            <w:r>
              <w:rPr/>
              <w:t xml:space="preserve">苗栗縣頭份市中華路 440 號</w:t>
            </w:r>
          </w:p>
        </w:tc>
        <w:tc>
          <w:tcPr>
            <w:tcW w:w="1800" w:type="dxa"/>
          </w:tcPr>
          <w:p>
            <w:pPr>
              <w:jc w:val="center"/>
              <w:spacing w:line="240" w:lineRule="auto"/>
            </w:pPr>
            <w:r>
              <w:rPr/>
              <w:t xml:space="preserve">+886 37 631 018</w:t>
            </w:r>
          </w:p>
        </w:tc>
      </w:tr>
      <w:tr>
        <w:trPr/>
        <w:tc>
          <w:tcPr>
            <w:tcW w:w="1800" w:type="dxa"/>
          </w:tcPr>
          <w:p>
            <w:pPr>
              <w:jc w:val="center"/>
              <w:spacing w:line="240" w:lineRule="auto"/>
            </w:pPr>
            <w:r>
              <w:rPr/>
              <w:t xml:space="preserve">康普材料 海外廠 - 漳州 </w:t>
            </w:r>
          </w:p>
        </w:tc>
        <w:tc>
          <w:tcPr>
            <w:tcW w:w="1800" w:type="dxa"/>
          </w:tcPr>
          <w:p>
            <w:pPr>
              <w:jc w:val="center"/>
              <w:spacing w:line="240" w:lineRule="auto"/>
            </w:pPr>
            <w:r>
              <w:rPr/>
              <w:t xml:space="preserve">中國福建省漳州市古雷港經濟開發區濱海路30 號</w:t>
            </w:r>
          </w:p>
        </w:tc>
        <w:tc>
          <w:tcPr>
            <w:tcW w:w="1800" w:type="dxa"/>
          </w:tcPr>
          <w:p>
            <w:pPr>
              <w:jc w:val="center"/>
              <w:spacing w:line="240" w:lineRule="auto"/>
            </w:pPr>
            <w:r>
              <w:rPr/>
              <w:t xml:space="preserve">+86.596.6081.866</w:t>
            </w:r>
          </w:p>
        </w:tc>
      </w:tr>
      <w:tr>
        <w:trPr/>
        <w:tc>
          <w:tcPr>
            <w:tcW w:w="1800" w:type="dxa"/>
          </w:tcPr>
          <w:p>
            <w:pPr>
              <w:jc w:val="center"/>
              <w:spacing w:line="240" w:lineRule="auto"/>
            </w:pPr>
            <w:r>
              <w:rPr/>
              <w:t xml:space="preserve">康普材料海外廠 - 寧波 </w:t>
            </w:r>
          </w:p>
        </w:tc>
        <w:tc>
          <w:tcPr>
            <w:tcW w:w="1800" w:type="dxa"/>
          </w:tcPr>
          <w:p>
            <w:pPr>
              <w:jc w:val="center"/>
              <w:spacing w:line="240" w:lineRule="auto"/>
            </w:pPr>
            <w:r>
              <w:rPr/>
              <w:t xml:space="preserve">中國浙江省寧波市鎮海區寧波石化經濟技術
開發區鳳鳴路 789 號</w:t>
            </w:r>
          </w:p>
        </w:tc>
        <w:tc>
          <w:tcPr>
            <w:tcW w:w="1800" w:type="dxa"/>
          </w:tcPr>
          <w:p>
            <w:pPr>
              <w:jc w:val="center"/>
              <w:spacing w:line="240" w:lineRule="auto"/>
            </w:pPr>
            <w:r>
              <w:rPr/>
              <w:t xml:space="preserve">+86.574.8650.2235 </w:t>
            </w:r>
          </w:p>
        </w:tc>
      </w:tr>
      <w:tr>
        <w:trPr/>
        <w:tc>
          <w:tcPr>
            <w:tcW w:w="1800" w:type="dxa"/>
          </w:tcPr>
          <w:p>
            <w:pPr>
              <w:jc w:val="center"/>
              <w:spacing w:line="240" w:lineRule="auto"/>
            </w:pPr>
            <w:r>
              <w:rPr/>
              <w:t xml:space="preserve">康普材料海外廠 - 泰國 </w:t>
            </w:r>
          </w:p>
        </w:tc>
        <w:tc>
          <w:tcPr>
            <w:tcW w:w="1800" w:type="dxa"/>
          </w:tcPr>
          <w:p>
            <w:pPr>
              <w:jc w:val="center"/>
              <w:spacing w:line="240" w:lineRule="auto"/>
            </w:pPr>
            <w:r>
              <w:rPr/>
              <w:t xml:space="preserve">Eastern Seaboard Industrial Estate (Rayong) 64/62, Moo 4, Tambol Pluakdaeng,
Amphur Pluakdaeng, Rayong 21140
Thailand.</w:t>
            </w:r>
          </w:p>
        </w:tc>
        <w:tc>
          <w:tcPr>
            <w:tcW w:w="1800" w:type="dxa"/>
          </w:tcPr>
          <w:p>
            <w:pPr>
              <w:jc w:val="center"/>
              <w:spacing w:line="240" w:lineRule="auto"/>
            </w:pPr>
            <w:r>
              <w:rPr/>
              <w:t xml:space="preserve">+66.33.012.571</w:t>
            </w:r>
          </w:p>
        </w:tc>
      </w:tr>
      <w:tr>
        <w:trPr/>
        <w:tc>
          <w:tcPr>
            <w:tcW w:w="1800" w:type="dxa"/>
          </w:tcPr>
          <w:p>
            <w:pPr>
              <w:jc w:val="center"/>
              <w:spacing w:line="240" w:lineRule="auto"/>
            </w:pPr>
            <w:r>
              <w:rPr/>
              <w:t xml:space="preserve">恆誼化工 頭份廠  </w:t>
            </w:r>
          </w:p>
        </w:tc>
        <w:tc>
          <w:tcPr>
            <w:tcW w:w="1800" w:type="dxa"/>
          </w:tcPr>
          <w:p>
            <w:pPr>
              <w:jc w:val="center"/>
              <w:spacing w:line="240" w:lineRule="auto"/>
            </w:pPr>
            <w:r>
              <w:rPr/>
              <w:t xml:space="preserve">苗栗縣頭份市中華路 440 號</w:t>
            </w:r>
          </w:p>
        </w:tc>
        <w:tc>
          <w:tcPr>
            <w:tcW w:w="1800" w:type="dxa"/>
          </w:tcPr>
          <w:p>
            <w:pPr>
              <w:jc w:val="center"/>
              <w:spacing w:line="240" w:lineRule="auto"/>
            </w:pPr>
            <w:r>
              <w:rPr/>
              <w:t xml:space="preserve">+886 37 623 396</w:t>
            </w:r>
          </w:p>
        </w:tc>
      </w:tr>
      <w:tr>
        <w:trPr/>
        <w:tc>
          <w:tcPr>
            <w:tcW w:w="1800" w:type="dxa"/>
          </w:tcPr>
          <w:p>
            <w:pPr>
              <w:jc w:val="center"/>
              <w:spacing w:line="240" w:lineRule="auto"/>
            </w:pPr>
            <w:r>
              <w:rPr/>
              <w:t xml:space="preserve">天弘化學新竹一廠  </w:t>
            </w:r>
          </w:p>
        </w:tc>
        <w:tc>
          <w:tcPr>
            <w:tcW w:w="1800" w:type="dxa"/>
          </w:tcPr>
          <w:p>
            <w:pPr>
              <w:jc w:val="center"/>
              <w:spacing w:line="240" w:lineRule="auto"/>
            </w:pPr>
            <w:r>
              <w:rPr/>
              <w:t xml:space="preserve">新竹縣湖口鄉新竹工業區文化路 11 號</w:t>
            </w:r>
          </w:p>
        </w:tc>
        <w:tc>
          <w:tcPr>
            <w:tcW w:w="1800" w:type="dxa"/>
          </w:tcPr>
          <w:p>
            <w:pPr>
              <w:jc w:val="center"/>
              <w:spacing w:line="240" w:lineRule="auto"/>
            </w:pPr>
            <w:r>
              <w:rPr/>
              <w:t xml:space="preserve">+886 3 598 5750</w:t>
            </w:r>
          </w:p>
        </w:tc>
      </w:tr>
      <w:tr>
        <w:trPr/>
        <w:tc>
          <w:tcPr>
            <w:tcW w:w="1800" w:type="dxa"/>
          </w:tcPr>
          <w:p>
            <w:pPr>
              <w:jc w:val="center"/>
              <w:spacing w:line="240" w:lineRule="auto"/>
            </w:pPr>
            <w:r>
              <w:rPr/>
              <w:t xml:space="preserve">天弘化學新竹二廠 </w:t>
            </w:r>
          </w:p>
        </w:tc>
        <w:tc>
          <w:tcPr>
            <w:tcW w:w="1800" w:type="dxa"/>
          </w:tcPr>
          <w:p>
            <w:pPr>
              <w:jc w:val="center"/>
              <w:spacing w:line="240" w:lineRule="auto"/>
            </w:pPr>
            <w:r>
              <w:rPr/>
              <w:t xml:space="preserve">新竹縣湖口鄉新竹工業區實踐路 18 號</w:t>
            </w:r>
          </w:p>
        </w:tc>
        <w:tc>
          <w:tcPr>
            <w:tcW w:w="1800" w:type="dxa"/>
          </w:tcPr>
          <w:p>
            <w:pPr>
              <w:jc w:val="center"/>
              <w:spacing w:line="240" w:lineRule="auto"/>
            </w:pPr>
            <w:r>
              <w:rPr/>
              <w:t xml:space="preserve">+886 3 598 6750 </w:t>
            </w:r>
          </w:p>
        </w:tc>
      </w:tr>
      <w:tr>
        <w:trPr/>
        <w:tc>
          <w:tcPr>
            <w:tcW w:w="1800" w:type="dxa"/>
          </w:tcPr>
          <w:p>
            <w:pPr>
              <w:jc w:val="center"/>
              <w:spacing w:line="240" w:lineRule="auto"/>
            </w:pPr>
            <w:r>
              <w:rPr/>
              <w:t xml:space="preserve">天弘化學頭份廠  </w:t>
            </w:r>
          </w:p>
        </w:tc>
        <w:tc>
          <w:tcPr>
            <w:tcW w:w="1800" w:type="dxa"/>
          </w:tcPr>
          <w:p>
            <w:pPr>
              <w:jc w:val="center"/>
              <w:spacing w:line="240" w:lineRule="auto"/>
            </w:pPr>
            <w:r>
              <w:rPr/>
              <w:t xml:space="preserve">苗栗縣頭份市中華路 440 號</w:t>
            </w:r>
          </w:p>
        </w:tc>
        <w:tc>
          <w:tcPr>
            <w:tcW w:w="1800" w:type="dxa"/>
          </w:tcPr>
          <w:p>
            <w:pPr>
              <w:jc w:val="center"/>
              <w:spacing w:line="240" w:lineRule="auto"/>
            </w:pPr>
            <w:r>
              <w:rPr/>
              <w:t xml:space="preserve">+886 37 612 068</w:t>
            </w:r>
          </w:p>
        </w:tc>
      </w:tr>
      <w:tr>
        <w:trPr/>
        <w:tc>
          <w:tcPr>
            <w:tcW w:w="1800" w:type="dxa"/>
          </w:tcPr>
          <w:p>
            <w:pPr>
              <w:jc w:val="center"/>
              <w:spacing w:line="240" w:lineRule="auto"/>
            </w:pPr>
            <w:r>
              <w:rPr/>
              <w:t xml:space="preserve">天弘化學 </w:t>
            </w:r>
          </w:p>
        </w:tc>
        <w:tc>
          <w:tcPr>
            <w:tcW w:w="1800" w:type="dxa"/>
          </w:tcPr>
          <w:p>
            <w:pPr>
              <w:jc w:val="center"/>
              <w:spacing w:line="240" w:lineRule="auto"/>
            </w:pPr>
            <w:r>
              <w:rPr/>
              <w:t xml:space="preserve">台中市大肚區沙田路三段 245 巷 68 號</w:t>
            </w:r>
          </w:p>
        </w:tc>
        <w:tc>
          <w:tcPr>
            <w:tcW w:w="1800" w:type="dxa"/>
          </w:tcPr>
          <w:p>
            <w:pPr>
              <w:jc w:val="center"/>
              <w:spacing w:line="240" w:lineRule="auto"/>
            </w:pPr>
            <w:r>
              <w:rPr/>
              <w:t xml:space="preserve">+886 4 2699 6606</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spacing w:line="240" w:lineRule="auto"/>
      </w:pPr>
      <w:r>
        <w:rPr/>
        <w:t xml:space="preserve">答案：康普集團: 1. 2020 年 取得 RMI 責任礦產確保計劃的合格鈷精煉廠證書 2. 2021 年 參與台經院「品牌耀飛計畫」，
持續提升康普集團品牌形象
子公司 天弘化學: 1.2021年頭份廠鈷萃取產線正式量產 2. 2022年新竹二廠硫酸鈷產線正式量產</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t xml:space="preserve">答案：</w:t>
      </w:r>
    </w:p>
    <w:p>
      <w:pPr/>
      <w:r>
        <w:pict>
          <v:shape type="#_x0000_t75" stroked="f" style="width:200pt; height:189.98109640832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康普材料科技股份有限公司 1992 年 
天弘化學股份有限公司 1975 年
恆誼化工股份有限公司1961 年</w:t>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如網址</w:t>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https://www.coremaxcorp.com/zh-tw/coremax-corporation</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廉潔、透明以及負責</w:t>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康普集團遵循『全程產品經營』之既定策略</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五大核心價值觀(安全 人才 品質 創新 精進)與 25 項關鍵行為</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5,285,365 </w:t>
            </w:r>
          </w:p>
        </w:tc>
        <w:tc>
          <w:tcPr>
            <w:tcW w:w="1800" w:type="dxa"/>
          </w:tcPr>
          <w:p>
            <w:pPr>
              <w:jc w:val="center"/>
              <w:spacing w:line="240" w:lineRule="auto"/>
            </w:pPr>
            <w:r>
              <w:rPr/>
              <w:t xml:space="preserve">7,338,783 </w:t>
            </w:r>
          </w:p>
        </w:tc>
        <w:tc>
          <w:tcPr>
            <w:tcW w:w="1800" w:type="dxa"/>
          </w:tcPr>
          <w:p>
            <w:pPr>
              <w:jc w:val="center"/>
              <w:spacing w:line="240" w:lineRule="auto"/>
            </w:pPr>
            <w:r>
              <w:rPr/>
              <w:t xml:space="preserve">9,081,621 仟元</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4,809,896</w:t>
            </w:r>
          </w:p>
        </w:tc>
        <w:tc>
          <w:tcPr>
            <w:tcW w:w="1800" w:type="dxa"/>
          </w:tcPr>
          <w:p>
            <w:pPr>
              <w:jc w:val="center"/>
              <w:spacing w:line="240" w:lineRule="auto"/>
            </w:pPr>
            <w:r>
              <w:rPr/>
              <w:t xml:space="preserve">6,395,418</w:t>
            </w:r>
          </w:p>
        </w:tc>
        <w:tc>
          <w:tcPr>
            <w:tcW w:w="1800" w:type="dxa"/>
          </w:tcPr>
          <w:p>
            <w:pPr>
              <w:jc w:val="center"/>
              <w:spacing w:line="240" w:lineRule="auto"/>
            </w:pPr>
            <w:r>
              <w:rPr/>
              <w:t xml:space="preserve">8,057,095</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216,302  </w:t>
            </w:r>
          </w:p>
        </w:tc>
        <w:tc>
          <w:tcPr>
            <w:tcW w:w="1800" w:type="dxa"/>
          </w:tcPr>
          <w:p>
            <w:pPr>
              <w:jc w:val="center"/>
              <w:spacing w:line="240" w:lineRule="auto"/>
            </w:pPr>
            <w:r>
              <w:rPr/>
              <w:t xml:space="preserve">584,373</w:t>
            </w:r>
          </w:p>
        </w:tc>
        <w:tc>
          <w:tcPr>
            <w:tcW w:w="1800" w:type="dxa"/>
          </w:tcPr>
          <w:p>
            <w:pPr>
              <w:jc w:val="center"/>
              <w:spacing w:line="240" w:lineRule="auto"/>
            </w:pPr>
            <w:r>
              <w:rPr/>
              <w:t xml:space="preserve">582,835</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165,645 </w:t>
            </w:r>
          </w:p>
        </w:tc>
        <w:tc>
          <w:tcPr>
            <w:tcW w:w="1800" w:type="dxa"/>
          </w:tcPr>
          <w:p>
            <w:pPr>
              <w:jc w:val="center"/>
              <w:spacing w:line="240" w:lineRule="auto"/>
            </w:pPr>
            <w:r>
              <w:rPr/>
              <w:t xml:space="preserve">448,420</w:t>
            </w:r>
          </w:p>
        </w:tc>
        <w:tc>
          <w:tcPr>
            <w:tcW w:w="1800" w:type="dxa"/>
          </w:tcPr>
          <w:p>
            <w:pPr>
              <w:jc w:val="center"/>
              <w:spacing w:line="240" w:lineRule="auto"/>
            </w:pPr>
            <w:r>
              <w:rPr/>
              <w:t xml:space="preserve">530,100 仟元</w:t>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1.73 </w:t>
            </w:r>
          </w:p>
        </w:tc>
        <w:tc>
          <w:tcPr>
            <w:tcW w:w="1800" w:type="dxa"/>
          </w:tcPr>
          <w:p>
            <w:pPr>
              <w:jc w:val="center"/>
              <w:spacing w:line="240" w:lineRule="auto"/>
            </w:pPr>
            <w:r>
              <w:rPr/>
              <w:t xml:space="preserve">4.67</w:t>
            </w:r>
          </w:p>
        </w:tc>
        <w:tc>
          <w:tcPr>
            <w:tcW w:w="1800" w:type="dxa"/>
          </w:tcPr>
          <w:p>
            <w:pPr>
              <w:jc w:val="center"/>
              <w:spacing w:line="240" w:lineRule="auto"/>
            </w:pPr>
            <w:r>
              <w:rPr/>
              <w:t xml:space="preserve"> 4.72
元</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spacing w:line="240" w:lineRule="auto"/>
      </w:pPr>
      <w:r>
        <w:rPr/>
        <w:t xml:space="preserve">答案：2022 年康普集團整體營業收入達 90.8 億元，主要需求來自於氣候變遷議題下，各國對於電動車的需求持續上升，連帶使得康普動力電池材料銷售量越來越高，也帶動整體營業額的增長。
康普集團 2022 年整體營業收入當中，內銷為 20%，外銷為 80%，外銷比例較往年提高，主要來自於亞洲地區與歐美地區的客戶。由於氣候變遷的影響日益顯著，各國也陸續提出燃油車停產相關政策；造成市場對於電動車電池需求增加。另外由於原料隨著俄烏戰爭價格波動較大，而康普的回收技術也提供客戶更多選擇，符合市場的需求</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氧化觸媒</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康普新竹廠
康普寧波廠
康普泰國廠
康普漳州廠</w:t>
            </w:r>
          </w:p>
        </w:tc>
        <w:tc>
          <w:tcPr>
            <w:tcW w:w="1800" w:type="dxa"/>
          </w:tcPr>
          <w:p>
            <w:pPr>
              <w:jc w:val="center"/>
              <w:spacing w:line="240" w:lineRule="auto"/>
            </w:pPr>
            <w:r>
              <w:rPr/>
              <w:t xml:space="preserve"/>
            </w:r>
          </w:p>
        </w:tc>
      </w:tr>
      <w:tr>
        <w:trPr/>
        <w:tc>
          <w:tcPr>
            <w:tcW w:w="1800" w:type="dxa"/>
          </w:tcPr>
          <w:p>
            <w:pPr>
              <w:jc w:val="center"/>
              <w:spacing w:line="240" w:lineRule="auto"/>
            </w:pPr>
            <w:r>
              <w:rPr/>
              <w:t xml:space="preserve">動力電池材料</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康普新竹廠
康普頭份廠
天弘新竹二廠</w:t>
            </w:r>
          </w:p>
        </w:tc>
        <w:tc>
          <w:tcPr>
            <w:tcW w:w="1800" w:type="dxa"/>
          </w:tcPr>
          <w:p>
            <w:pPr>
              <w:jc w:val="center"/>
              <w:spacing w:line="240" w:lineRule="auto"/>
            </w:pPr>
            <w:r>
              <w:rPr/>
              <w:t xml:space="preserve"/>
            </w:r>
          </w:p>
        </w:tc>
      </w:tr>
      <w:tr>
        <w:trPr/>
        <w:tc>
          <w:tcPr>
            <w:tcW w:w="1800" w:type="dxa"/>
          </w:tcPr>
          <w:p>
            <w:pPr>
              <w:jc w:val="center"/>
              <w:spacing w:line="240" w:lineRule="auto"/>
            </w:pPr>
            <w:r>
              <w:rPr/>
              <w:t xml:space="preserve">化學肥料</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恆誼頭份廠</w:t>
            </w:r>
          </w:p>
        </w:tc>
        <w:tc>
          <w:tcPr>
            <w:tcW w:w="1800" w:type="dxa"/>
          </w:tcPr>
          <w:p>
            <w:pPr>
              <w:jc w:val="center"/>
              <w:spacing w:line="240" w:lineRule="auto"/>
            </w:pPr>
            <w:r>
              <w:rPr/>
              <w:t xml:space="preserve"/>
            </w:r>
          </w:p>
        </w:tc>
      </w:tr>
      <w:tr>
        <w:trPr/>
        <w:tc>
          <w:tcPr>
            <w:tcW w:w="1800" w:type="dxa"/>
          </w:tcPr>
          <w:p>
            <w:pPr>
              <w:jc w:val="center"/>
              <w:spacing w:line="240" w:lineRule="auto"/>
            </w:pPr>
            <w:r>
              <w:rPr/>
              <w:t xml:space="preserve">特用化學材料</w:t>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天弘台中廠
天弘新竹一廠
恆誼頭份廠
康普新竹廠</w:t>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c>
          <w:tcPr>
            <w:tcW w:w="1800" w:type="dxa"/>
          </w:tcPr>
          <w:p>
            <w:pPr>
              <w:jc w:val="center"/>
              <w:spacing w:line="240" w:lineRule="auto"/>
            </w:pPr>
            <w:r>
              <w:rPr/>
              <w:t xml:space="preserve"/>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8"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	所有董事皆有豐富之專業背景及經歷以因應產業營運發展之需求。
	因應公司治理要求之董事兼任經理人不宜過高，本公司兼任公司高階主管員工之董事為2名(占比為18%，低於1/3)。
	性別組成之多元化，針對女性董事成員目標設定為一席，並於第18屆董事會選任實際達成目標，選任女性董事一名，占比為9%。
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	董事會在「重大主題衝擊評估」擔任監督管理的重要角色和溝通程序
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	由哪個單位提案? 誰決策? 董事會的工作? 
	董事會是否/如何與利害關係人議合（以展現對這些程序的支持）、
	董事會如何考量這些程序的結果；
3.	描述最高治理單位在檢視上述程序有效性扮演的角色，以及檢視頻率
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9"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1"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8"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總公司</w:t>
            </w:r>
          </w:p>
        </w:tc>
        <w:tc>
          <w:tcPr>
            <w:tcW w:w="1800" w:type="dxa"/>
          </w:tcPr>
          <w:p>
            <w:pPr>
              <w:jc w:val="center"/>
              <w:spacing w:line="240" w:lineRule="auto"/>
            </w:pPr>
            <w:r>
              <w:rPr>
                <w:sz w:val="24"/>
                <w:szCs w:val="24"/>
                <w:b w:val="1"/>
                <w:bCs w:val="1"/>
              </w:rPr>
              <w:t xml:space="preserve">分公司1</w:t>
            </w:r>
          </w:p>
        </w:tc>
        <w:tc>
          <w:tcPr>
            <w:tcW w:w="1800" w:type="dxa"/>
          </w:tcPr>
          <w:p>
            <w:pPr>
              <w:jc w:val="center"/>
              <w:spacing w:line="240" w:lineRule="auto"/>
            </w:pPr>
            <w:r>
              <w:rPr>
                <w:sz w:val="24"/>
                <w:szCs w:val="24"/>
                <w:b w:val="1"/>
                <w:bCs w:val="1"/>
              </w:rPr>
              <w:t xml:space="preserve">子公司1</w:t>
            </w:r>
          </w:p>
        </w:tc>
        <w:tc>
          <w:tcPr>
            <w:tcW w:w="1800" w:type="dxa"/>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發出問卷總數</w:t>
            </w:r>
          </w:p>
        </w:tc>
        <w:tc>
          <w:tcPr>
            <w:tcW w:w="1800" w:type="dxa"/>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人壽保險</w:t>
            </w:r>
          </w:p>
        </w:tc>
        <w:tc>
          <w:tcPr>
            <w:tcW w:w="1800" w:type="dxa"/>
          </w:tcPr>
          <w:p>
            <w:pPr>
              <w:jc w:val="center"/>
              <w:spacing w:line="240" w:lineRule="auto"/>
            </w:pPr>
            <w:r>
              <w:rPr>
                <w:sz w:val="24"/>
                <w:szCs w:val="24"/>
                <w:b w:val="1"/>
                <w:bCs w:val="1"/>
              </w:rPr>
              <w:t xml:space="preserve">醫療保險</w:t>
            </w:r>
          </w:p>
        </w:tc>
        <w:tc>
          <w:tcPr>
            <w:tcW w:w="1800" w:type="dxa"/>
          </w:tcPr>
          <w:p>
            <w:pPr>
              <w:jc w:val="center"/>
              <w:spacing w:line="240" w:lineRule="auto"/>
            </w:pPr>
            <w:r>
              <w:rPr>
                <w:sz w:val="24"/>
                <w:szCs w:val="24"/>
                <w:b w:val="1"/>
                <w:bCs w:val="1"/>
              </w:rPr>
              <w:t xml:space="preserve">傷殘保險</w:t>
            </w:r>
          </w:p>
        </w:tc>
        <w:tc>
          <w:tcPr>
            <w:tcW w:w="1800" w:type="dxa"/>
          </w:tcPr>
          <w:p>
            <w:pPr>
              <w:jc w:val="center"/>
              <w:spacing w:line="240" w:lineRule="auto"/>
            </w:pPr>
            <w:r>
              <w:rPr>
                <w:sz w:val="24"/>
                <w:szCs w:val="24"/>
                <w:b w:val="1"/>
                <w:bCs w:val="1"/>
              </w:rPr>
              <w:t xml:space="preserve">育嬰假</w:t>
            </w:r>
          </w:p>
        </w:tc>
        <w:tc>
          <w:tcPr>
            <w:tcW w:w="1800" w:type="dxa"/>
          </w:tcPr>
          <w:p>
            <w:pPr>
              <w:jc w:val="center"/>
              <w:spacing w:line="240" w:lineRule="auto"/>
            </w:pPr>
            <w:r>
              <w:rPr>
                <w:sz w:val="24"/>
                <w:szCs w:val="24"/>
                <w:b w:val="1"/>
                <w:bCs w:val="1"/>
              </w:rPr>
              <w:t xml:space="preserve">育嬰假</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員工持股</w:t>
            </w:r>
          </w:p>
        </w:tc>
        <w:tc>
          <w:tcPr>
            <w:tcW w:w="1800" w:type="dxa"/>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新人訓練</w:t>
            </w:r>
          </w:p>
        </w:tc>
        <w:tc>
          <w:tcPr>
            <w:tcW w:w="1800" w:type="dxa"/>
          </w:tcPr>
          <w:p>
            <w:pPr>
              <w:jc w:val="center"/>
              <w:spacing w:line="240" w:lineRule="auto"/>
            </w:pPr>
            <w:r>
              <w:rPr>
                <w:sz w:val="24"/>
                <w:szCs w:val="24"/>
                <w:b w:val="1"/>
                <w:bCs w:val="1"/>
              </w:rPr>
              <w:t xml:space="preserve">中高階主管訓練</w:t>
            </w:r>
          </w:p>
        </w:tc>
        <w:tc>
          <w:tcPr>
            <w:tcW w:w="1800" w:type="dxa"/>
          </w:tcPr>
          <w:p>
            <w:pPr>
              <w:jc w:val="center"/>
              <w:spacing w:line="240" w:lineRule="auto"/>
            </w:pPr>
            <w:r>
              <w:rPr>
                <w:sz w:val="24"/>
                <w:szCs w:val="24"/>
                <w:b w:val="1"/>
                <w:bCs w:val="1"/>
              </w:rPr>
              <w:t xml:space="preserve">專職人員</w:t>
            </w:r>
          </w:p>
        </w:tc>
        <w:tc>
          <w:tcPr>
            <w:tcW w:w="1800" w:type="dxa"/>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男性</w:t>
            </w:r>
          </w:p>
        </w:tc>
        <w:tc>
          <w:tcPr>
            <w:tcW w:w="1800" w:type="dxa"/>
          </w:tcPr>
          <w:p>
            <w:pPr>
              <w:jc w:val="center"/>
              <w:spacing w:line="240" w:lineRule="auto"/>
            </w:pPr>
            <w:r>
              <w:rPr>
                <w:sz w:val="24"/>
                <w:szCs w:val="24"/>
                <w:b w:val="1"/>
                <w:bCs w:val="1"/>
              </w:rPr>
              <w:t xml:space="preserve">女性</w:t>
            </w:r>
          </w:p>
        </w:tc>
        <w:tc>
          <w:tcPr>
            <w:tcW w:w="1800" w:type="dxa"/>
          </w:tcPr>
          <w:p>
            <w:pPr>
              <w:jc w:val="center"/>
              <w:spacing w:line="240" w:lineRule="auto"/>
            </w:pPr>
            <w:r>
              <w:rPr>
                <w:sz w:val="24"/>
                <w:szCs w:val="24"/>
                <w:b w:val="1"/>
                <w:bCs w:val="1"/>
              </w:rPr>
              <w:t xml:space="preserve">總計</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職業健康服務功能類別</w:t>
            </w:r>
          </w:p>
        </w:tc>
        <w:tc>
          <w:tcPr>
            <w:tcW w:w="1800" w:type="dxa"/>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廠區及廠址</w:t>
            </w:r>
          </w:p>
        </w:tc>
        <w:tc>
          <w:tcPr>
            <w:tcW w:w="1800" w:type="dxa"/>
          </w:tcPr>
          <w:p>
            <w:pPr>
              <w:jc w:val="center"/>
              <w:spacing w:line="240" w:lineRule="auto"/>
            </w:pPr>
            <w:r>
              <w:rPr>
                <w:sz w:val="24"/>
                <w:szCs w:val="24"/>
                <w:b w:val="1"/>
                <w:bCs w:val="1"/>
              </w:rPr>
              <w:t xml:space="preserve">開會次數</w:t>
            </w:r>
          </w:p>
        </w:tc>
        <w:tc>
          <w:tcPr>
            <w:tcW w:w="1800" w:type="dxa"/>
          </w:tcPr>
          <w:p>
            <w:pPr>
              <w:jc w:val="center"/>
              <w:spacing w:line="240" w:lineRule="auto"/>
            </w:pPr>
            <w:r>
              <w:rPr>
                <w:sz w:val="24"/>
                <w:szCs w:val="24"/>
                <w:b w:val="1"/>
                <w:bCs w:val="1"/>
              </w:rPr>
              <w:t xml:space="preserve">委員人數</w:t>
            </w:r>
          </w:p>
        </w:tc>
        <w:tc>
          <w:tcPr>
            <w:tcW w:w="1800" w:type="dxa"/>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職前訓練</w:t>
            </w:r>
          </w:p>
        </w:tc>
        <w:tc>
          <w:tcPr>
            <w:tcW w:w="1800" w:type="dxa"/>
          </w:tcPr>
          <w:p>
            <w:pPr>
              <w:jc w:val="center"/>
              <w:spacing w:line="240" w:lineRule="auto"/>
            </w:pPr>
            <w:r>
              <w:rPr>
                <w:sz w:val="24"/>
                <w:szCs w:val="24"/>
                <w:b w:val="1"/>
                <w:bCs w:val="1"/>
              </w:rPr>
              <w:t xml:space="preserve">法令證照訓練</w:t>
            </w:r>
          </w:p>
        </w:tc>
        <w:tc>
          <w:tcPr>
            <w:tcW w:w="1800" w:type="dxa"/>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w:t>
            </w:r>
          </w:p>
        </w:tc>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次數</w:t>
            </w:r>
          </w:p>
        </w:tc>
        <w:tc>
          <w:tcPr>
            <w:tcW w:w="1800" w:type="dxa"/>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廠址/廠區</w:t>
            </w:r>
          </w:p>
        </w:tc>
        <w:tc>
          <w:tcPr>
            <w:tcW w:w="1800" w:type="dxa"/>
          </w:tcPr>
          <w:p>
            <w:pPr>
              <w:jc w:val="center"/>
              <w:spacing w:line="240" w:lineRule="auto"/>
            </w:pPr>
            <w:r>
              <w:rPr>
                <w:sz w:val="24"/>
                <w:szCs w:val="24"/>
                <w:b w:val="1"/>
                <w:bCs w:val="1"/>
              </w:rPr>
              <w:t xml:space="preserve">(廠區內)虛驚事件</w:t>
            </w:r>
          </w:p>
        </w:tc>
        <w:tc>
          <w:tcPr>
            <w:tcW w:w="1800" w:type="dxa"/>
          </w:tcPr>
          <w:p>
            <w:pPr>
              <w:jc w:val="center"/>
              <w:spacing w:line="240" w:lineRule="auto"/>
            </w:pPr>
            <w:r>
              <w:rPr>
                <w:sz w:val="24"/>
                <w:szCs w:val="24"/>
                <w:b w:val="1"/>
                <w:bCs w:val="1"/>
              </w:rPr>
              <w:t xml:space="preserve">(廠區外)虛驚事件</w:t>
            </w:r>
          </w:p>
        </w:tc>
        <w:tc>
          <w:tcPr>
            <w:tcW w:w="1800" w:type="dxa"/>
          </w:tcPr>
          <w:p>
            <w:pPr>
              <w:jc w:val="center"/>
              <w:spacing w:line="240" w:lineRule="auto"/>
            </w:pPr>
            <w:r>
              <w:rPr>
                <w:sz w:val="24"/>
                <w:szCs w:val="24"/>
                <w:b w:val="1"/>
                <w:bCs w:val="1"/>
              </w:rPr>
              <w:t xml:space="preserve">(廠區內)安全事件</w:t>
            </w:r>
          </w:p>
        </w:tc>
        <w:tc>
          <w:tcPr>
            <w:tcW w:w="1800" w:type="dxa"/>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總工時(當年度全體員工之工作總時間)</w:t>
            </w:r>
          </w:p>
        </w:tc>
        <w:tc>
          <w:tcPr>
            <w:tcW w:w="1800" w:type="dxa"/>
          </w:tcPr>
          <w:p>
            <w:pPr>
              <w:jc w:val="center"/>
              <w:spacing w:line="240" w:lineRule="auto"/>
            </w:pPr>
            <w:r>
              <w:rPr>
                <w:sz w:val="24"/>
                <w:szCs w:val="24"/>
                <w:b w:val="1"/>
                <w:bCs w:val="1"/>
              </w:rPr>
              <w:t xml:space="preserve">缺勤率( AR)</w:t>
            </w:r>
          </w:p>
        </w:tc>
        <w:tc>
          <w:tcPr>
            <w:tcW w:w="1800" w:type="dxa"/>
          </w:tcPr>
          <w:p>
            <w:pPr>
              <w:jc w:val="center"/>
              <w:spacing w:line="240" w:lineRule="auto"/>
            </w:pPr>
            <w:r>
              <w:rPr>
                <w:sz w:val="24"/>
                <w:szCs w:val="24"/>
                <w:b w:val="1"/>
                <w:bCs w:val="1"/>
              </w:rPr>
              <w:t xml:space="preserve">職業傷害死亡率</w:t>
            </w:r>
          </w:p>
        </w:tc>
        <w:tc>
          <w:tcPr>
            <w:tcW w:w="1800" w:type="dxa"/>
          </w:tcPr>
          <w:p>
            <w:pPr>
              <w:jc w:val="center"/>
              <w:spacing w:line="240" w:lineRule="auto"/>
            </w:pPr>
            <w:r>
              <w:rPr>
                <w:sz w:val="24"/>
                <w:szCs w:val="24"/>
                <w:b w:val="1"/>
                <w:bCs w:val="1"/>
              </w:rPr>
              <w:t xml:space="preserve">可記錄總工傷事故數量</w:t>
            </w:r>
          </w:p>
        </w:tc>
        <w:tc>
          <w:tcPr>
            <w:tcW w:w="1800" w:type="dxa"/>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職業病數量</w:t>
            </w:r>
          </w:p>
        </w:tc>
        <w:tc>
          <w:tcPr>
            <w:tcW w:w="1800" w:type="dxa"/>
          </w:tcPr>
          <w:p>
            <w:pPr>
              <w:jc w:val="center"/>
              <w:spacing w:line="240" w:lineRule="auto"/>
            </w:pPr>
            <w:r>
              <w:rPr>
                <w:sz w:val="24"/>
                <w:szCs w:val="24"/>
                <w:b w:val="1"/>
                <w:bCs w:val="1"/>
              </w:rPr>
              <w:t xml:space="preserve">職業病率 (ODR)</w:t>
            </w:r>
          </w:p>
        </w:tc>
        <w:tc>
          <w:tcPr>
            <w:tcW w:w="1800" w:type="dxa"/>
          </w:tcPr>
          <w:p>
            <w:pPr>
              <w:jc w:val="center"/>
              <w:spacing w:line="240" w:lineRule="auto"/>
            </w:pPr>
            <w:r>
              <w:rPr>
                <w:sz w:val="24"/>
                <w:szCs w:val="24"/>
                <w:b w:val="1"/>
                <w:bCs w:val="1"/>
              </w:rPr>
              <w:t xml:space="preserve">工傷率 / 事故率 (IR)</w:t>
            </w:r>
          </w:p>
        </w:tc>
        <w:tc>
          <w:tcPr>
            <w:tcW w:w="1800" w:type="dxa"/>
          </w:tcPr>
          <w:p>
            <w:pPr>
              <w:jc w:val="center"/>
              <w:spacing w:line="240" w:lineRule="auto"/>
            </w:pPr>
            <w:r>
              <w:rPr>
                <w:sz w:val="24"/>
                <w:szCs w:val="24"/>
                <w:b w:val="1"/>
                <w:bCs w:val="1"/>
              </w:rPr>
              <w:t xml:space="preserve">損工日數率 (LDR)</w:t>
            </w:r>
          </w:p>
        </w:tc>
        <w:tc>
          <w:tcPr>
            <w:tcW w:w="1800" w:type="dxa"/>
          </w:tcPr>
          <w:p>
            <w:pPr>
              <w:jc w:val="center"/>
              <w:spacing w:line="240" w:lineRule="auto"/>
            </w:pPr>
            <w:r>
              <w:rPr>
                <w:sz w:val="24"/>
                <w:szCs w:val="24"/>
                <w:b w:val="1"/>
                <w:bCs w:val="1"/>
              </w:rPr>
              <w:t xml:space="preserve">製程安全事故統計數量 (PSIC)</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製程安全事件發生率(PSTIR)</w:t>
            </w:r>
          </w:p>
        </w:tc>
        <w:tc>
          <w:tcPr>
            <w:tcW w:w="1800" w:type="dxa"/>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發生件數</w:t>
            </w:r>
          </w:p>
        </w:tc>
        <w:tc>
          <w:tcPr>
            <w:tcW w:w="1800" w:type="dxa"/>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廠區1</w:t>
            </w:r>
          </w:p>
        </w:tc>
        <w:tc>
          <w:tcPr>
            <w:tcW w:w="1800" w:type="dxa"/>
          </w:tcPr>
          <w:p>
            <w:pPr>
              <w:jc w:val="center"/>
              <w:spacing w:line="240" w:lineRule="auto"/>
            </w:pPr>
            <w:r>
              <w:rPr>
                <w:sz w:val="24"/>
                <w:szCs w:val="24"/>
                <w:b w:val="1"/>
                <w:bCs w:val="1"/>
              </w:rPr>
              <w:t xml:space="preserve">廠區2</w:t>
            </w:r>
          </w:p>
        </w:tc>
        <w:tc>
          <w:tcPr>
            <w:tcW w:w="1800" w:type="dxa"/>
          </w:tcPr>
          <w:p>
            <w:pPr>
              <w:jc w:val="center"/>
              <w:spacing w:line="240" w:lineRule="auto"/>
            </w:pPr>
            <w:r>
              <w:rPr>
                <w:sz w:val="24"/>
                <w:szCs w:val="24"/>
                <w:b w:val="1"/>
                <w:bCs w:val="1"/>
              </w:rPr>
              <w:t xml:space="preserve">廠區3</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 Id="rId19" Type="http://schemas.openxmlformats.org/officeDocument/2006/relationships/image" Target="media/section_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2023-10-31T16:56:09+08:00</dcterms:created>
  <dcterms:modified xsi:type="dcterms:W3CDTF">2023-10-31T16:56:09+08:00</dcterms:modified>
</cp:coreProperties>
</file>

<file path=docProps/custom.xml><?xml version="1.0" encoding="utf-8"?>
<Properties xmlns="http://schemas.openxmlformats.org/officeDocument/2006/custom-properties" xmlns:vt="http://schemas.openxmlformats.org/officeDocument/2006/docPropsVTypes"/>
</file>