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測試-ESG 重大主題正/負向衝擊-曦冬 複製 (單一獨立題目題型) 20221223-複製-複製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正向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負向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原因說明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有無獲獎事件 ?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請填答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  <w:tc>
          <w:tcPr>
            <w:tcW w:w="2000" w:type="dxa"/>
          </w:tcPr>
          <w:p>
            <w:pPr>
              <w:jc w:val="center"/>
              <w:spacing w:line="240" w:lineRule="auto"/>
            </w:pPr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>
        <w:spacing w:line="240" w:lineRule="auto"/>
      </w:pPr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32-5. 【財務績效】 財務績效指標，業績成長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32-7. 【風險管理】 風險管理政策與管理體系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32-9. 【ESG倡議】響應國際ESG倡議組織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32-10. 【數位轉型】數位發展與學習；數位應用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32-13. 【供應商評估】在地採購; 供應商篩選、評核與管理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32-14. 【綠色採購】綠色採購做法與政策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32-16. 【品牌經營】增加品牌識別度和企業形象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32-17. 【廢棄物管理】營運廢棄物的管理、處置與回收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32-18. 【循環經濟】使用回收材料；包材；產品回收管理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32-22. 【生物多樣性】營運廠區綠化；生態保育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32-23. 【淨零政策】配合政策達到2050 淨零目標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>
        <w:spacing w:line="240" w:lineRule="auto"/>
      </w:pPr>
      <w:r>
        <w:rPr/>
        <w:t xml:space="preserve">      答案：3 分</w:t>
      </w:r>
    </w:p>
    <w:p>
      <w:pPr>
        <w:spacing w:line="240" w:lineRule="auto"/>
      </w:pPr>
      <w:r>
        <w:rPr>
          <w:sz w:val="28"/>
          <w:szCs w:val="28"/>
        </w:rPr>
        <w:t xml:space="preserve">    32-30. 【社會參與】投入社區發展，社會公益與活動</w:t>
      </w:r>
    </w:p>
    <w:p>
      <w:pPr>
        <w:spacing w:line="240" w:lineRule="auto"/>
      </w:pPr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2023-01-03T11:11:10+08:00</dcterms:created>
  <dcterms:modified xsi:type="dcterms:W3CDTF">2023-01-03T11:11:10+08:00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