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康普-ESG重大主題正負向衝擊</w:t>
      </w:r>
    </w:p>
    <w:p>
      <w:pPr/>
      <w:r>
        <w:rPr/>
        <w:t xml:space="preserve"/>
      </w:r>
    </w:p>
    <w:p>
      <w:pPr>
        <w:jc w:val="center"/>
      </w:pPr>
      <w:r>
        <w:rPr>
          <w:color w:val="FF0000"/>
          <w:sz w:val="36"/>
          <w:szCs w:val="36"/>
        </w:rPr>
        <w:t xml:space="preserve">ESG正負向衝擊評估</w:t>
      </w:r>
    </w:p>
    <w:p>
      <w:pPr/>
      <w:r>
        <w:rPr/>
        <w:t xml:space="preserve"/>
      </w:r>
    </w:p>
    <w:p>
      <w:pPr>
        <w:spacing w:line="276" w:lineRule="auto"/>
      </w:pPr>
      <w:r>
        <w:rPr>
          <w:sz w:val="32"/>
          <w:szCs w:val="32"/>
          <w:b w:val="1"/>
          <w:bCs w:val="1"/>
          <w:u w:val="single"/>
        </w:rPr>
        <w:t xml:space="preserve">1. 2022年ESG整體表現
請問您認為公司在以下各議題(共35項) 對於經濟、社會、環境造成正面衝擊/影響還是負面衝擊/影響? 
</w:t>
      </w:r>
    </w:p>
    <w:p>
      <w:pPr>
        <w:spacing w:line="36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說明為什麼你認為該議題是正面/負面衝擊? 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廢棄物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反貪腐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公司治理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有關環境保護的法規遵循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排放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客戶隱私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職業安全衛生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勞資關係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水與放流水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社會經濟法規遵循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能源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勞雇關係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經濟績效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訓練與教育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供應商環境評估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供應商社會評估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當地社區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反競爭行為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物料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人權評估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顧客的健康與安全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強迫予強制勞動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童工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不歧視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行銷與標示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市場地位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員工多元化與平等機會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結社自由與團體協商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稅務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間接經濟衝擊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生物多樣性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保全實務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採購實務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原住民權利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公共政策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</w:tcPr>
          <w:p>
            <w:pPr/>
            <w:r>
              <w:rPr/>
              <w:t xml:space="preserve">yes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2022-12-20T17:27:52+08:00</dcterms:created>
  <dcterms:modified xsi:type="dcterms:W3CDTF">2022-12-20T17:27:52+08:00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