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答案：2022-11-02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資產</w:t>
      </w:r>
    </w:p>
    <w:p>
      <w:pPr/>
      <w:r>
        <w:rPr/>
        <w:t xml:space="preserve">2. 人才</w:t>
      </w:r>
    </w:p>
    <w:p>
      <w:pPr/>
      <w:r>
        <w:rPr/>
        <w:t xml:space="preserve">3. 政策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答案：環境優美 同事好相處 薪資優渥 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一、 治理
1-1  董事會對氣候相關風險與機會的監督情況說明</w:t>
      </w:r>
    </w:p>
    <w:p>
      <w:pPr/>
      <w:r>
        <w:rPr/>
        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
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355.733333333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答案：1-1 組織產業鏈描述 : 上游供應商、下游客戶、終端客戶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2b-2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4d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答案：1-1 組織產業鏈描述 : 上游供應商、下游客戶、終端客戶 - aa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九、是否要求供應商遵循不強迫勞動，不使用童工等社會面指標</w:t>
      </w:r>
    </w:p>
    <w:p>
      <w:pPr/>
      <w:r>
        <w:rPr/>
        <w:t xml:space="preserve">答案：其他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2c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2022-11-17T23:26:19+08:00</dcterms:created>
  <dcterms:modified xsi:type="dcterms:W3CDTF">2022-11-17T23:26:19+08:00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