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sz w:val="60"/><w:szCs w:val="60"/></w:rPr><w:t xml:space="preserve">ESG報告書-測試版本</w:t></w:r></w:p><w:p><w:pPr/><w:r><w:rPr/><w:t xml:space="preserve"></w:t></w:r></w:p><w:p><w:pPr/><w:r><w:rPr><w:color w:val="FF0000"/><w:sz w:val="44"/><w:szCs w:val="44"/></w:rPr><w:t xml:space="preserve">公司治理</w:t></w:r></w:p><w:p><w:pPr/><w:r><w:rPr/><w:t xml:space="preserve"></w:t></w:r></w:p><w:p><w:pPr/><w:r><w:rPr><w:sz w:val="32"/><w:szCs w:val="32"/></w:rPr><w:t xml:space="preserve">引言. 公司治理引言</w:t></w:r></w:p><w:p><w:pPr/><w:r><w:rPr/><w:t xml:space="preserve"></w:t></w:r></w:p><w:p><w:pPr/><w:r><w:rPr><w:sz w:val="32"/><w:szCs w:val="32"/></w:rPr><w:t xml:space="preserve">1. 對自己的評分</w:t></w:r></w:p><w:p><w:pPr/><w:r><w:rPr><w:sz w:val="22"/><w:szCs w:val="22"/></w:rPr><w:t xml:space="preserve">請誠實</w:t></w:r></w:p><w:p><w:pPr/><w:r><w:rPr/><w:t xml:space="preserve">答案：2</w:t></w:r></w:p><w:p><w:pPr/><w:r><w:rPr/><w:t xml:space="preserve"></w:t></w:r></w:p><w:p><w:pPr/><w:r><w:rPr><w:sz w:val="32"/><w:szCs w:val="32"/></w:rPr><w:t xml:space="preserve">2. 哪一天能到本公司?</w:t></w:r></w:p><w:p><w:pPr/><w:r><w:rPr/><w:t xml:space="preserve">答案：2022-11-02 00:00:00</w:t></w:r></w:p><w:p><w:pPr/><w:r><w:rPr/><w:t xml:space="preserve"></w:t></w:r></w:p><w:p><w:pPr/><w:r><w:rPr><w:sz w:val="32"/><w:szCs w:val="32"/></w:rPr><w:t xml:space="preserve">3. 給自己打分數</w:t></w:r></w:p><w:p><w:pPr/><w:r><w:rPr/><w:t xml:space="preserve">答案：3</w:t></w:r></w:p><w:p><w:pPr/><w:r><w:rPr/><w:t xml:space="preserve"></w:t></w:r></w:p><w:p><w:pPr/><w:r><w:rPr><w:sz w:val="32"/><w:szCs w:val="32"/></w:rPr><w:t xml:space="preserve">4. 公司營運方針排序</w:t></w:r></w:p><w:p><w:pPr/><w:r><w:rPr/><w:t xml:space="preserve">答案：</w:t></w:r></w:p><w:p><w:pPr/><w:r><w:rPr/><w:t xml:space="preserve">1. 資產</w:t></w:r></w:p><w:p><w:pPr/><w:r><w:rPr/><w:t xml:space="preserve">2. 人才</w:t></w:r></w:p><w:p><w:pPr/><w:r><w:rPr/><w:t xml:space="preserve">3. 政策</w:t></w:r></w:p><w:p><w:pPr/><w:r><w:rPr/><w:t xml:space="preserve"></w:t></w:r></w:p><w:p><w:pPr/><w:r><w:rPr><w:sz w:val="32"/><w:szCs w:val="32"/></w:rPr><w:t xml:space="preserve">5. 公司優點</w:t></w:r></w:p><w:p><w:pPr/><w:r><w:rPr/><w:t xml:space="preserve">答案：環境優美 同事好相處 薪資優渥 </w:t></w:r></w:p><w:p><w:pPr/><w:r><w:rPr/><w:t xml:space="preserve"></w:t></w:r></w:p><w:p><w:pPr/><w:r><w:rPr><w:sz w:val="32"/><w:szCs w:val="32"/></w:rPr><w:t xml:space="preserve">6. 給本公司打個分數</w:t></w:r></w:p><w:p><w:pPr/><w:r><w:rPr/><w:t xml:space="preserve">答案：3</w:t></w:r></w:p><w:p><w:pPr/><w:r><w:rPr/><w:t xml:space="preserve"></w:t></w:r></w:p><w:p><w:pPr/><w:r><w:rPr><w:sz w:val="32"/><w:szCs w:val="32"/></w:rPr><w:t xml:space="preserve">7. 是否滿意本公司</w:t></w:r></w:p><w:p><w:pPr/><w:r><w:rPr/><w:t xml:space="preserve"></w:t></w:r></w:p><w:p><w:pPr/><w:r><w:rPr><w:sz w:val="28"/><w:szCs w:val="28"/></w:rPr><w:t xml:space="preserve">    7-1 環境</w:t></w:r></w:p><w:p><w:pPr/><w:r><w:rPr/><w:t xml:space="preserve">    答案：普通</w:t></w:r></w:p><w:p><w:pPr/><w:r><w:rPr/><w:t xml:space="preserve"></w:t></w:r></w:p><w:p><w:pPr/><w:r><w:rPr><w:sz w:val="28"/><w:szCs w:val="28"/></w:rPr><w:t xml:space="preserve">    7-2 同事</w:t></w:r></w:p><w:p><w:pPr/><w:r><w:rPr/><w:t xml:space="preserve">    答案：不滿意</w:t></w:r></w:p><w:p><w:pPr/><w:r><w:rPr/><w:t xml:space="preserve"></w:t></w:r></w:p><w:p><w:pPr/><w:r><w:rPr><w:sz w:val="28"/><w:szCs w:val="28"/></w:rPr><w:t xml:space="preserve">    7-3 薪資</w:t></w:r></w:p><w:p><w:pPr/><w:r><w:rPr/><w:t xml:space="preserve">    答案：非常不滿意</w:t></w:r></w:p><w:p><w:pPr/><w:r><w:rPr/><w:t xml:space="preserve"></w:t></w:r></w:p><w:p><w:pPr><w:sectPr><w:pgSz w:orient="portrait" w:w="11905.5118110236" w:h="16837.7952755905"/><w:pgMar w:top="1440" w:right="1440" w:bottom="1440" w:left="1440" w:header="720" w:footer="720" w:gutter="0"/><w:cols w:num="1" w:space="720"/></w:sectPr></w:pPr></w:p><w:p><w:pPr/><w:r><w:rPr><w:color w:val="FF0000"/><w:sz w:val="44"/><w:szCs w:val="44"/></w:rPr><w:t xml:space="preserve">氣候相關風險與機會財務衝擊評估(TCFD)</w:t></w:r></w:p><w:p><w:pPr/><w:r><w:rPr/><w:t xml:space="preserve"></w:t></w:r></w:p><w:p><w:pPr/><w:r><w:rPr><w:sz w:val="32"/><w:szCs w:val="32"/></w:rPr><w:t xml:space="preserve">引言. 為因應全球氣候變遷趨勢，及參考金融穩定委員會(Financial Stability Board; FSB)之氣候相關財務揭露建議書(Task Force on Climate-related Financial Disclosures; TCFD) 架構。請貴公司針對氣候變遷之治理、策略、風險管理 &amp; 指標與標的 等四大核心要素之作法，進行闡述說明。</w:t></w:r></w:p><w:p><w:pPr/><w:r><w:rPr/><w:t xml:space="preserve"></w:t></w:r></w:p><w:p><w:pPr/><w:r><w:rPr><w:sz w:val="32"/><w:szCs w:val="32"/></w:rPr><w:t xml:space="preserve">8. 一、 治理
1-1  董事會對氣候相關風險與機會的監督情況說明</w:t></w:r></w:p><w:p><w:pPr/><w:r><w:rPr/><w:t xml:space="preserve">答案：為因應全球氣候變遷趨勢，及參考金融穩定委員會(Financial Stability Board; FSB)之氣候相關財務揭露建議書(Task Force on Climate-related Financial Disclosures; TCFD) 架構。請貴公司針對氣候變遷之治理、策略、風險管理 & 指標與標的 等四大核心要素之作法，進行闡述說明。

為因應全球氣候變遷趨勢，及參考金融穩定委員會(Financial Stability Board; FSB)之氣候相關財務揭露建議書(Task Force on Climate-related Financial Disclosures; TCFD) 架構。請貴公司針對氣候變遷之治理、策略、風險管理 & 指標與標的 等四大核心要素之作法，進行闡述說明。
</w:t></w:r></w:p><w:p><w:pPr/><w:r><w:rPr/><w:t xml:space="preserve"></w:t></w:r></w:p><w:p><w:pPr/><w:r><w:rPr><w:sz w:val="32"/><w:szCs w:val="32"/></w:rPr><w:t xml:space="preserve">9. 2-1-2  承接上題，上傳 TCFD 風險矩陣圖</w:t></w:r></w:p><w:p><w:pPr/><w:r><w:rPr/><w:t xml:space="preserve">答案：</w:t></w:r></w:p><w:p><w:pPr/><w:r><w:pict><v:shape type="#_x0000_t75" stroked="f" style="width:200pt; height:355.73333333333pt; margin-left:0pt; margin-top:0pt; mso-position-horizontal:left; mso-position-vertical:top; mso-position-horizontal-relative:char; mso-position-vertical-relative:line;"><w10:wrap type="inline"/><v:imagedata r:id="rId7" o:title=""/></v:shape></w:pict></w:r></w:p><w:p><w:pPr/><w:r><w:rPr/><w:t xml:space="preserve"></w:t></w:r></w:p><w:p><w:pPr><w:sectPr><w:pgSz w:orient="portrait" w:w="11905.5118110236" w:h="16837.7952755905"/><w:pgMar w:top="1440" w:right="1440" w:bottom="1440" w:left="1440" w:header="720" w:footer="720" w:gutter="0"/><w:cols w:num="1" w:space="720"/></w:sectPr></w:pPr></w:p><w:p><w:pPr/><w:r><w:rPr><w:color w:val="FF0000"/><w:sz w:val="44"/><w:szCs w:val="44"/></w:rPr><w:t xml:space="preserve">供應商管理</w:t></w:r></w:p><w:p><w:pPr/><w:r><w:rPr/><w:t xml:space="preserve"></w:t></w:r></w:p><w:p><w:pPr/><w:r><w:rPr><w:sz w:val="32"/><w:szCs w:val="32"/></w:rPr><w:t xml:space="preserve">引言. 參考國際ESG規範，GRI，SASB，TCFD等，針對供應商管理相關內容包括以下: 
主要關注議題: 供應鏈關係，供應風險，供應商是否遵循環境與人權要求
</w:t></w:r></w:p><w:p><w:pPr/><w:r><w:rPr/><w:t xml:space="preserve"></w:t></w:r></w:p><w:p><w:pPr/><w:r><w:rPr><w:sz w:val="32"/><w:szCs w:val="32"/></w:rPr><w:t xml:space="preserve">10. 一、描述組織的供應鏈（包括與組織活動、主要品牌、產品及服務相關的主要要素）
1-1  組織產業鏈描述 : 上游供應商、下游客戶、終端客戶</w:t></w:r></w:p><w:p><w:pPr/><w:r><w:rPr/><w:t xml:space="preserve">答案：1-1 組織產業鏈描述 : 上游供應商、下游客戶、終端客戶
</w:t></w:r></w:p><w:p><w:pPr/><w:r><w:rPr/><w:t xml:space="preserve"></w:t></w:r></w:p><w:p><w:pPr/><w:r><w:rPr><w:sz w:val="32"/><w:szCs w:val="32"/></w:rPr><w:t xml:space="preserve">11. 3-2  承接上題，請說明公司對主要供應商的年度採購金額比例
「在地採購」</w:t></w:r></w:p><w:p><w:pPr/><w:r><w:rPr><w:sz w:val="22"/><w:szCs w:val="22"/></w:rPr><w:t xml:space="preserve">系指 : 台灣地區</w:t></w:r></w:p><w:tbl><w:tblGrid><w:gridCol w:w="2000" w:type="dxa"/><w:gridCol w:w="2000" w:type="dxa"/><w:gridCol w:w="2000" w:type="dxa"/><w:gridCol w:w="2000" w:type="dxa"/><w:gridCol w:w="2000" w:type="dxa"/></w:tblGrid><w:tblPr><w:tblW w:w="0" w:type="auto"/><w:tblLayout w:type="autofit"/><w:bidiVisual w:val="0"/><w:tblCellMar><w:top w:w="50" w:type="dxa"/><w:left w:w="50" w:type="dxa"/><w:right w:w="50" w:type="dxa"/><w:bottom w:w="50" w:type="dxa"/></w:tblCellMar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廠區</w:t></w:r></w:p></w:tc><w:tc><w:tcPr><w:tcW w:w="2000" w:type="dxa"/></w:tcPr><w:p><w:pPr/><w:r><w:rPr><w:color w:val="C2C287"/></w:rPr><w:t xml:space="preserve">2020 年 (%)</w:t></w:r></w:p></w:tc><w:tc><w:tcPr><w:tcW w:w="2000" w:type="dxa"/></w:tcPr><w:p><w:pPr/><w:r><w:rPr><w:color w:val="C2C287"/></w:rPr><w:t xml:space="preserve">2021 年 (%)</w:t></w:r></w:p></w:tc><w:tc><w:tcPr><w:tcW w:w="2000" w:type="dxa"/></w:tcPr><w:p><w:pPr/><w:r><w:rPr><w:color w:val="C2C287"/></w:rPr><w:t xml:space="preserve">2022 年 (%)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1a</w:t></w:r></w:p></w:tc><w:tc><w:tcPr><w:tcW w:w="2000" w:type="dxa"/></w:tcPr><w:p><w:pPr/><w:r><w:rPr><w:color w:val="C2C287"/></w:rPr><w:t xml:space="preserve">1b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2b-2</w:t></w:r></w:p></w:tc><w:tc><w:tcPr><w:tcW w:w="2000" w:type="dxa"/></w:tcPr><w:p><w:pPr/><w:r><w:rPr><w:color w:val="C2C287"/></w:rPr><w:t xml:space="preserve">2c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3c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4d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/w:tbl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><w:sz w:val="32"/><w:szCs w:val="32"/></w:rPr><w:t xml:space="preserve">12. 四、供應商風險評估與衝突礦產盡職調查
4-1  目前是否進行供應商風險評估?</w:t></w:r></w:p><w:p><w:pPr/><w:r><w:rPr><w:sz w:val="22"/><w:szCs w:val="22"/></w:rPr><w:t xml:space="preserve">-	目前是否進行供應商風險評估? 如果是，請問評估哪些風險? (原料供應，財務能力，品質，交期，服務等) 是否有風險管理流程與機制?
-	是否對供應商進行衝突礦產盡職調查? 針對哪些類型的供應商? 進行多少家?</w:t></w:r></w:p><w:p><w:pPr/><w:r><w:rPr/><w:t xml:space="preserve">答案：1-1 組織產業鏈描述 : 上游供應商、下游客戶、終端客戶 - aa
</w:t></w:r></w:p><w:p><w:pPr/><w:r><w:rPr/><w:t xml:space="preserve"></w:t></w:r></w:p><w:p><w:pPr/><w:r><w:rPr><w:sz w:val="32"/><w:szCs w:val="32"/></w:rPr><w:t xml:space="preserve">13. 6-3 已評估、鑑別結果、改善後、終止合作的供應商數量與比例</w:t></w:r></w:p><w:p><w:pPr/><w:r><w:rPr><w:sz w:val="22"/><w:szCs w:val="22"/></w:rPr><w:t xml:space="preserve">請參考圖例</w:t></w:r></w:p><w:p><w:pPr/><w:r><w:pict><v:shape type="#_x0000_t75" stroked="f" style="width:200pt; height:81.364497789008pt; margin-left:0pt; margin-top:0pt; mso-position-horizontal:left; mso-position-vertical:top; mso-position-horizontal-relative:char; mso-position-vertical-relative:line;"><w10:wrap type="inline"/><v:imagedata r:id="rId8" o:title=""/></v:shape></w:pict></w:r></w:p><w:tbl><w:tblGrid><w:gridCol w:w="2000" w:type="dxa"/><w:gridCol w:w="2000" w:type="dxa"/><w:gridCol w:w="2000" w:type="dxa"/><w:gridCol w:w="2000" w:type="dxa"/></w:tblGrid><w:tblPr><w:tblW w:w="0" w:type="auto"/><w:tblLayout w:type="autofit"/><w:bidiVisual w:val="0"/><w:tblCellMar><w:top w:w="50" w:type="dxa"/><w:left w:w="50" w:type="dxa"/><w:right w:w="50" w:type="dxa"/><w:bottom w:w="50" w:type="dxa"/></w:tblCellMar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2020 年</w:t></w:r></w:p></w:tc><w:tc><w:tcPr><w:tcW w:w="2000" w:type="dxa"/></w:tcPr><w:p><w:pPr/><w:r><w:rPr><w:color w:val="C2C287"/></w:rPr><w:t xml:space="preserve">2021 年</w:t></w:r></w:p></w:tc><w:tc><w:tcPr><w:tcW w:w="2000" w:type="dxa"/></w:tcPr><w:p><w:pPr/><w:r><w:rPr><w:color w:val="C2C287"/></w:rPr><w:t xml:space="preserve">2022 年</w:t></w:r></w:p></w:tc></w:tr><w:tr><w:trPr/><w:tc><w:tcPr><w:tcW w:w="2000" w:type="dxa"/></w:tcPr><w:p><w:pPr/><w:r><w:rPr><w:color w:val="C2C287"/></w:rPr><w:t xml:space="preserve">調查家數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回覆家數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有執行ESG政策 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沒有執行ESG政策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有違反環境相關法規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沒有違反環境相關法規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特定環境指標，有達標 (例如廢水處理是否合規)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特定環境指標，沒有達標 (例如廢水處理是否合規)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特定環境指標是否有漸少? (例如整體用水量)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特定環境指標是否沒有漸少? (例如整體用水量)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總回覆率(%)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/w:tbl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><w:sz w:val="32"/><w:szCs w:val="32"/></w:rPr><w:t xml:space="preserve">14. 九、是否要求供應商遵循不強迫勞動，不使用童工等社會面指標</w:t></w:r></w:p><w:p><w:pPr/><w:r><w:rPr/><w:t xml:space="preserve">答案：其他</w:t></w:r></w:p><w:p><w:pPr/><w:r><w:rPr/><w:t xml:space="preserve"></w:t></w:r></w:p><w:p><w:pPr/><w:r><w:rPr><w:sz w:val="32"/><w:szCs w:val="32"/></w:rPr><w:t xml:space="preserve">15. 10-4  已評估、鑑別結果、改善後、終止合作的供應商數量與比例 </w:t></w:r></w:p><w:p><w:pPr/><w:r><w:rPr><w:sz w:val="22"/><w:szCs w:val="22"/></w:rPr><w:t xml:space="preserve">請參考圖例</w:t></w:r></w:p><w:p><w:pPr/><w:r><w:pict><v:shape type="#_x0000_t75" stroked="f" style="width:200pt; height:81.850533807829pt; margin-left:0pt; margin-top:0pt; mso-position-horizontal:left; mso-position-vertical:top; mso-position-horizontal-relative:char; mso-position-vertical-relative:line;"><w10:wrap type="inline"/><v:imagedata r:id="rId9" o:title=""/></v:shape></w:pict></w:r></w:p><w:tbl><w:tblGrid><w:gridCol w:w="2000" w:type="dxa"/><w:gridCol w:w="2000" w:type="dxa"/><w:gridCol w:w="2000" w:type="dxa"/><w:gridCol w:w="2000" w:type="dxa"/></w:tblGrid><w:tblPr><w:tblW w:w="0" w:type="auto"/><w:tblLayout w:type="autofit"/><w:bidiVisual w:val="0"/><w:tblCellMar><w:top w:w="50" w:type="dxa"/><w:left w:w="50" w:type="dxa"/><w:right w:w="50" w:type="dxa"/><w:bottom w:w="50" w:type="dxa"/></w:tblCellMar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2020 年</w:t></w:r></w:p></w:tc><w:tc><w:tcPr><w:tcW w:w="2000" w:type="dxa"/></w:tcPr><w:p><w:pPr/><w:r><w:rPr><w:color w:val="C2C287"/></w:rPr><w:t xml:space="preserve">2021 年</w:t></w:r></w:p></w:tc><w:tc><w:tcPr><w:tcW w:w="2000" w:type="dxa"/></w:tcPr><w:p><w:pPr/><w:r><w:rPr><w:color w:val="C2C287"/></w:rPr><w:t xml:space="preserve">2022 年</w:t></w:r></w:p></w:tc></w:tr><w:tr><w:trPr/><w:tc><w:tcPr><w:tcW w:w="2000" w:type="dxa"/></w:tcPr><w:p><w:pPr/><w:r><w:rPr><w:color w:val="C2C287"/></w:rPr><w:t xml:space="preserve">調查家數</w:t></w:r></w:p></w:tc><w:tc><w:tcPr><w:tcW w:w="2000" w:type="dxa"/></w:tcPr><w:p><w:pPr/><w:r><w:rPr><w:color w:val="C2C287"/></w:rPr><w:t xml:space="preserve">a</w:t></w:r></w:p></w:tc><w:tc><w:tcPr><w:tcW w:w="2000" w:type="dxa"/></w:tcPr><w:p><w:pPr/><w:r><w:rPr><w:color w:val="C2C287"/></w:rPr><w:t xml:space="preserve">b</w:t></w:r></w:p></w:tc><w:tc><w:tcPr><w:tcW w:w="2000" w:type="dxa"/></w:tcPr><w:p><w:pPr/><w:r><w:rPr><w:color w:val="C2C287"/></w:rPr><w:t xml:space="preserve">c</w:t></w:r></w:p></w:tc></w:tr><w:tr><w:trPr/><w:tc><w:tcPr><w:tcW w:w="2000" w:type="dxa"/></w:tcPr><w:p><w:pPr/><w:r><w:rPr><w:color w:val="C2C287"/></w:rPr><w:t xml:space="preserve">回覆家數</w:t></w:r></w:p></w:tc><w:tc><w:tcPr><w:tcW w:w="2000" w:type="dxa"/></w:tcPr><w:p><w:pPr/><w:r><w:rPr><w:color w:val="C2C287"/></w:rPr><w:t xml:space="preserve">2a</w:t></w:r></w:p></w:tc><w:tc><w:tcPr><w:tcW w:w="2000" w:type="dxa"/></w:tcPr><w:p><w:pPr/><w:r><w:rPr><w:color w:val="C2C287"/></w:rPr><w:t xml:space="preserve">2b</w:t></w:r></w:p></w:tc><w:tc><w:tcPr><w:tcW w:w="2000" w:type="dxa"/></w:tcPr><w:p><w:pPr/><w:r><w:rPr><w:color w:val="C2C287"/></w:rPr><w:t xml:space="preserve">2c</w:t></w:r></w:p></w:tc></w:tr><w:tr><w:trPr/><w:tc><w:tcPr><w:tcW w:w="2000" w:type="dxa"/></w:tcPr><w:p><w:pPr/><w:r><w:rPr><w:color w:val="C2C287"/></w:rPr><w:t xml:space="preserve">有執行ESG政策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c</w:t></w:r></w:p></w:tc></w:tr><w:tr><w:trPr/><w:tc><w:tcPr><w:tcW w:w="2000" w:type="dxa"/></w:tcPr><w:p><w:pPr/><w:r><w:rPr><w:color w:val="C2C287"/></w:rPr><w:t xml:space="preserve">沒有執行ESG政策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有違反社會相關法規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沒有違反社會相關法規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特定社會指標，有達標  (例如人權政策)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特定社會指標，沒有達標  (例如人權政策)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特定社會指標是否有達標?  (例如勞動條件)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特定社會指標是否沒有達標?  (例如勞動條件)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總回覆率(%)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/w:tbl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sectPr><w:pgSz w:orient="portrait" w:w="11905.5118110236" w:h="16837.795275590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2022-11-17T21:45:27+08:00</dcterms:created>
  <dcterms:modified xsi:type="dcterms:W3CDTF">2022-11-17T21:45:27+08:00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